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25F74" w14:textId="71E7BB09" w:rsidR="00B174BB" w:rsidRDefault="002F4322">
      <w:pPr>
        <w:pStyle w:val="MainTitle"/>
      </w:pPr>
      <w:r>
        <w:t>KOMMISJONENS GJENNOMFØRINGSFORORDNING</w:t>
      </w:r>
      <w:r w:rsidR="005B47E0">
        <w:t xml:space="preserve"> (EU) 2024/949</w:t>
      </w:r>
    </w:p>
    <w:p w14:paraId="25D4CAF8" w14:textId="77777777" w:rsidR="00B174BB" w:rsidRDefault="005B47E0">
      <w:pPr>
        <w:pStyle w:val="MainTitle"/>
      </w:pPr>
      <w:r>
        <w:t>av 27. mars 2024</w:t>
      </w:r>
    </w:p>
    <w:p w14:paraId="6F7B603C" w14:textId="77777777" w:rsidR="00B174BB" w:rsidRDefault="005B47E0" w:rsidP="001B04AC">
      <w:pPr>
        <w:pStyle w:val="MainTitle"/>
        <w:spacing w:after="360"/>
      </w:pPr>
      <w:r>
        <w:t>om opprettelse av et felles skjema for jernbanepassasjerers søknader om refusjon og erstatning ved forsinkelser, tapt korrespondanse og innstilte togruter i samsvar med europaparlaments- og rådsforordning (EU) 2021/782</w:t>
      </w:r>
    </w:p>
    <w:p w14:paraId="6B27DD53" w14:textId="77777777" w:rsidR="00B174BB" w:rsidRDefault="005B47E0">
      <w:pPr>
        <w:pStyle w:val="PreambleInit"/>
      </w:pPr>
      <w:r>
        <w:t>EUROPAKOMMISJONEN HAR</w:t>
      </w:r>
    </w:p>
    <w:p w14:paraId="736298FC" w14:textId="77777777" w:rsidR="00B174BB" w:rsidRDefault="005B47E0">
      <w:pPr>
        <w:pStyle w:val="Para"/>
      </w:pPr>
      <w:r>
        <w:t>under henvisning til traktaten om Den europeiske unions virkemåte,</w:t>
      </w:r>
    </w:p>
    <w:p w14:paraId="2893E1AD" w14:textId="77777777" w:rsidR="00B174BB" w:rsidRPr="001B04AC" w:rsidRDefault="005B47E0">
      <w:pPr>
        <w:pStyle w:val="Para"/>
        <w:rPr>
          <w:szCs w:val="18"/>
        </w:rPr>
      </w:pPr>
      <w:r>
        <w:t>under henvisning til europaparlaments- og rådsforordning (EU) 2021/782 av 29. april 2021 om jernbanepassasjerers rettigheter og forpliktelser(</w:t>
      </w:r>
      <w:bookmarkStart w:id="0" w:name="NOTE_1"/>
      <w:r w:rsidRPr="001B04AC">
        <w:rPr>
          <w:rStyle w:val="Fotnotereferanse"/>
          <w:sz w:val="18"/>
          <w:szCs w:val="18"/>
        </w:rPr>
        <w:footnoteReference w:id="2"/>
      </w:r>
      <w:bookmarkEnd w:id="0"/>
      <w:r>
        <w:t>), særlig artikkel 18 nr. 6 og artikkel 19 nr. 5, og</w:t>
      </w:r>
    </w:p>
    <w:p w14:paraId="4C457380" w14:textId="77777777" w:rsidR="00B174BB" w:rsidRDefault="005B47E0">
      <w:pPr>
        <w:pStyle w:val="Para"/>
      </w:pPr>
      <w:r>
        <w:t>ut fra følgende betraktninger:</w:t>
      </w:r>
    </w:p>
    <w:p w14:paraId="1F6CE48C" w14:textId="77777777" w:rsidR="00B174BB" w:rsidRDefault="005B47E0">
      <w:pPr>
        <w:pStyle w:val="Consid"/>
      </w:pPr>
      <w:r>
        <w:t>1)</w:t>
      </w:r>
      <w:r>
        <w:tab/>
        <w:t>I forordning (EU) 2021/782 er det fastsatt regler for jernbanetransport for å sikre effektivt vern av passasjerer og oppmuntre folk til å reise med tog.</w:t>
      </w:r>
    </w:p>
    <w:p w14:paraId="2F8889AE" w14:textId="77777777" w:rsidR="00B174BB" w:rsidRDefault="005B47E0">
      <w:pPr>
        <w:pStyle w:val="Consid"/>
      </w:pPr>
      <w:r>
        <w:t>2)</w:t>
      </w:r>
      <w:r>
        <w:tab/>
        <w:t>I samsvar med artikkel 18 nr. 7 og artikkel 19 nr. 6 i forordning (EU) 2021/782 har passasjerer rett til å sende inn søknader om refusjon og erstatning ved hjelp av et felles skjema. Jernbaneforetak bør imidlertid ikke avvise en refusjonssøknad utelukkende med begrunnelse i at passasjeren ikke har benyttet dette skjemaet.</w:t>
      </w:r>
    </w:p>
    <w:p w14:paraId="2416A23E" w14:textId="77777777" w:rsidR="00B174BB" w:rsidRDefault="005B47E0">
      <w:pPr>
        <w:pStyle w:val="Consid"/>
      </w:pPr>
      <w:r>
        <w:t>3)</w:t>
      </w:r>
      <w:r>
        <w:tab/>
        <w:t>Bruken av skjemaet bør gjøre det mulig for passasjerer å gi jernbaneforetak alle nødvendige relevante personopplysninger og reiseopplysninger, slik at det blir lettere for disse foretakene å behandle søknader om refusjon og erstatning.</w:t>
      </w:r>
    </w:p>
    <w:p w14:paraId="135AE9AF" w14:textId="77777777" w:rsidR="00B174BB" w:rsidRDefault="005B47E0">
      <w:pPr>
        <w:pStyle w:val="Consid"/>
      </w:pPr>
      <w:r>
        <w:t>4)</w:t>
      </w:r>
      <w:r>
        <w:tab/>
        <w:t>Av klarhetshensyn og for å gjøre det lettere for passasjerene å søke bør søknader om refusjon og erstatning integreres i ett felles skjema der passasjerer bør spesifisere om de søker om refusjon, erstatning eller begge deler.</w:t>
      </w:r>
    </w:p>
    <w:p w14:paraId="21C3AB27" w14:textId="77777777" w:rsidR="00B174BB" w:rsidRDefault="005B47E0">
      <w:pPr>
        <w:pStyle w:val="Consid"/>
      </w:pPr>
      <w:r>
        <w:t>5)</w:t>
      </w:r>
      <w:r>
        <w:tab/>
        <w:t>For å forenkle prosedyren for å søke om erstatning og/eller refusjon, og for å sikre at den er lett tilgjengelig, bør passasjerene ha mulighet til å sende inn det felles skjemaet for søknader om refusjon og erstatning enten som et fysisk dokument eller elektronisk.</w:t>
      </w:r>
    </w:p>
    <w:p w14:paraId="6A89C311" w14:textId="77777777" w:rsidR="00B174BB" w:rsidRDefault="005B47E0">
      <w:pPr>
        <w:pStyle w:val="Consid"/>
      </w:pPr>
      <w:r>
        <w:t>6)</w:t>
      </w:r>
      <w:r>
        <w:tab/>
        <w:t>For å oppmuntre passasjerene til å bruke det felles skjemaet til å søke om refusjon og erstatning bør Kommisjonen stille skjemaet til rådighet på alle Unionens offisielle språk på Kommisjonens nettsted, herunder i en versjon som er tilgjengelig for personer med funksjonsnedsettelse og personer med nedsatt bevegelsesevne.</w:t>
      </w:r>
    </w:p>
    <w:p w14:paraId="420D6374" w14:textId="77777777" w:rsidR="00B174BB" w:rsidRPr="001B04AC" w:rsidRDefault="005B47E0">
      <w:pPr>
        <w:pStyle w:val="Consid"/>
        <w:rPr>
          <w:szCs w:val="18"/>
        </w:rPr>
      </w:pPr>
      <w:r>
        <w:t>7)</w:t>
      </w:r>
      <w:r>
        <w:tab/>
        <w:t>EUs datatilsyn er blitt rådspurt i samsvar med artikkel 42 i europaparlaments- og rådsforordning (EF) nr. 2018/1725(</w:t>
      </w:r>
      <w:bookmarkStart w:id="1" w:name="NOTE_2"/>
      <w:r w:rsidRPr="001B04AC">
        <w:rPr>
          <w:rStyle w:val="Fotnotereferanse"/>
          <w:sz w:val="18"/>
          <w:szCs w:val="18"/>
        </w:rPr>
        <w:footnoteReference w:id="3"/>
      </w:r>
      <w:bookmarkEnd w:id="1"/>
      <w:r>
        <w:t>) og avga uttalelse 29. mars 2023.</w:t>
      </w:r>
    </w:p>
    <w:p w14:paraId="16AD31C9" w14:textId="77777777" w:rsidR="00B174BB" w:rsidRDefault="005B47E0" w:rsidP="001B04AC">
      <w:pPr>
        <w:pStyle w:val="Consid"/>
        <w:spacing w:after="0"/>
      </w:pPr>
      <w:r>
        <w:t>8)</w:t>
      </w:r>
      <w:r>
        <w:tab/>
        <w:t>Tiltakene fastsatt i denne forordningen er i samsvar med uttalelse fra komiteen for passasjerrettigheter.</w:t>
      </w:r>
    </w:p>
    <w:p w14:paraId="0D5B9AEE" w14:textId="77777777" w:rsidR="001B04AC" w:rsidRDefault="001B04AC">
      <w:pPr>
        <w:pStyle w:val="PreambleFinal"/>
        <w:sectPr w:rsidR="001B04AC" w:rsidSect="001B04AC">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1906" w:h="16838" w:code="9"/>
          <w:pgMar w:top="1680" w:right="1333" w:bottom="840" w:left="1333" w:header="920" w:footer="280" w:gutter="0"/>
          <w:cols w:space="708"/>
          <w:vAlign w:val="both"/>
          <w:docGrid w:linePitch="360"/>
        </w:sectPr>
      </w:pPr>
    </w:p>
    <w:p w14:paraId="0E5344B3" w14:textId="77777777" w:rsidR="00B174BB" w:rsidRDefault="005B47E0" w:rsidP="001B04AC">
      <w:pPr>
        <w:pStyle w:val="PreambleFinal"/>
        <w:spacing w:line="200" w:lineRule="exact"/>
      </w:pPr>
      <w:r>
        <w:lastRenderedPageBreak/>
        <w:t>VEDTATT DENNE FORORDNINGEN:</w:t>
      </w:r>
    </w:p>
    <w:p w14:paraId="2B7F4F43" w14:textId="77777777" w:rsidR="00B174BB" w:rsidRDefault="005B47E0">
      <w:pPr>
        <w:pStyle w:val="TIART"/>
      </w:pPr>
      <w:r>
        <w:t>Artikkel 1</w:t>
      </w:r>
    </w:p>
    <w:p w14:paraId="4E1074B6" w14:textId="77777777" w:rsidR="00B174BB" w:rsidRDefault="005B47E0">
      <w:pPr>
        <w:pStyle w:val="Alinea"/>
      </w:pPr>
      <w:r>
        <w:t>Ved denne forordningen opprettes det et felles skjema for søknader om refusjon og erstatning, som omhandlet i artikkel 18 nr. 6 og artikkel 19 nr. 5 i forordning (EU) 2021/782.</w:t>
      </w:r>
    </w:p>
    <w:p w14:paraId="685A4CDF" w14:textId="77777777" w:rsidR="00B174BB" w:rsidRDefault="005B47E0">
      <w:pPr>
        <w:pStyle w:val="Alinea"/>
      </w:pPr>
      <w:r>
        <w:t>Det felles skjemaet kan sendes inn som et fysisk dokument eller elektronisk.</w:t>
      </w:r>
    </w:p>
    <w:p w14:paraId="6B43F049" w14:textId="77777777" w:rsidR="00B174BB" w:rsidRDefault="005B47E0">
      <w:pPr>
        <w:pStyle w:val="TIART"/>
      </w:pPr>
      <w:r>
        <w:t>Artikkel 2</w:t>
      </w:r>
    </w:p>
    <w:p w14:paraId="2866023A" w14:textId="77777777" w:rsidR="00B174BB" w:rsidRDefault="005B47E0">
      <w:pPr>
        <w:pStyle w:val="Alinea"/>
      </w:pPr>
      <w:r>
        <w:t>Kommisjonen skal gjøre det felles skjemaet tilgjengelig på alle Unionens offisielle språk på sitt nettsted, sammen med en versjon som er tilgjengelig for personer med funksjonsnedsettelse og personer med nedsatt bevegelsesevne.</w:t>
      </w:r>
    </w:p>
    <w:p w14:paraId="6C703F83" w14:textId="77777777" w:rsidR="00B174BB" w:rsidRDefault="005B47E0">
      <w:pPr>
        <w:pStyle w:val="TIART"/>
      </w:pPr>
      <w:r>
        <w:t>Artikkel 3</w:t>
      </w:r>
    </w:p>
    <w:p w14:paraId="294179A1" w14:textId="77777777" w:rsidR="00B174BB" w:rsidRDefault="005B47E0">
      <w:pPr>
        <w:pStyle w:val="Alinea"/>
      </w:pPr>
      <w:r>
        <w:t xml:space="preserve">Denne forordningen trer i kraft den 20. dagen etter at den er kunngjort i </w:t>
      </w:r>
      <w:r>
        <w:rPr>
          <w:i/>
        </w:rPr>
        <w:t>Den europeiske unions tidende</w:t>
      </w:r>
      <w:r>
        <w:t>.</w:t>
      </w:r>
    </w:p>
    <w:p w14:paraId="4FE3E4D6" w14:textId="77777777" w:rsidR="00B174BB" w:rsidRDefault="005B47E0">
      <w:pPr>
        <w:pStyle w:val="Alinea"/>
      </w:pPr>
      <w:r>
        <w:t>Den får anvendelse fra 2. juli 2024.</w:t>
      </w:r>
    </w:p>
    <w:p w14:paraId="74CECD4A" w14:textId="77777777" w:rsidR="00B174BB" w:rsidRDefault="005B47E0" w:rsidP="001B04AC">
      <w:pPr>
        <w:pStyle w:val="Final"/>
        <w:spacing w:before="600" w:after="300"/>
        <w:ind w:left="1020"/>
      </w:pPr>
      <w:r>
        <w:t>Denne forordningen er bindende i alle deler og kommer direkte til anvendelse i alle medlemsstater.</w:t>
      </w:r>
    </w:p>
    <w:p w14:paraId="3CA69122" w14:textId="77777777" w:rsidR="00B174BB" w:rsidRDefault="005B47E0" w:rsidP="001B04AC">
      <w:pPr>
        <w:pStyle w:val="Final"/>
        <w:spacing w:after="300"/>
        <w:ind w:left="1020"/>
      </w:pPr>
      <w:r>
        <w:t>Utferdiget i Brussel 27. mars 2024.</w:t>
      </w:r>
    </w:p>
    <w:tbl>
      <w:tblPr>
        <w:tblW w:w="7908" w:type="dxa"/>
        <w:tblInd w:w="670" w:type="dxa"/>
        <w:tblLook w:val="04A0" w:firstRow="1" w:lastRow="0" w:firstColumn="1" w:lastColumn="0" w:noHBand="0" w:noVBand="1"/>
      </w:tblPr>
      <w:tblGrid>
        <w:gridCol w:w="4274"/>
        <w:gridCol w:w="3634"/>
      </w:tblGrid>
      <w:tr w:rsidR="00B174BB" w14:paraId="568C016E" w14:textId="77777777" w:rsidTr="001B04AC">
        <w:trPr>
          <w:trHeight w:val="440"/>
        </w:trPr>
        <w:tc>
          <w:tcPr>
            <w:tcW w:w="4274" w:type="dxa"/>
          </w:tcPr>
          <w:p w14:paraId="5D1AABED" w14:textId="77777777" w:rsidR="00B174BB" w:rsidRDefault="00B174BB">
            <w:pPr>
              <w:pStyle w:val="Para"/>
            </w:pPr>
          </w:p>
        </w:tc>
        <w:tc>
          <w:tcPr>
            <w:tcW w:w="3634" w:type="dxa"/>
          </w:tcPr>
          <w:p w14:paraId="6342967C" w14:textId="77777777" w:rsidR="00B174BB" w:rsidRDefault="005B47E0" w:rsidP="001B04AC">
            <w:pPr>
              <w:pStyle w:val="Signatory"/>
              <w:spacing w:after="120"/>
            </w:pPr>
            <w:r>
              <w:rPr>
                <w:i/>
              </w:rPr>
              <w:t>For Kommisjonen</w:t>
            </w:r>
          </w:p>
          <w:p w14:paraId="0C9408C3" w14:textId="77777777" w:rsidR="00B174BB" w:rsidRDefault="005B47E0" w:rsidP="001B04AC">
            <w:pPr>
              <w:pStyle w:val="SignatorySmall"/>
              <w:spacing w:after="120"/>
            </w:pPr>
            <w:r>
              <w:t xml:space="preserve">Ursula </w:t>
            </w:r>
            <w:r>
              <w:rPr>
                <w:caps/>
              </w:rPr>
              <w:t>von der Leyen</w:t>
            </w:r>
          </w:p>
          <w:p w14:paraId="2620E208" w14:textId="77777777" w:rsidR="00B174BB" w:rsidRDefault="005B47E0">
            <w:pPr>
              <w:pStyle w:val="Signatory"/>
            </w:pPr>
            <w:r>
              <w:rPr>
                <w:i/>
              </w:rPr>
              <w:t>President</w:t>
            </w:r>
          </w:p>
        </w:tc>
      </w:tr>
    </w:tbl>
    <w:p w14:paraId="541FBF76" w14:textId="77777777" w:rsidR="00B174BB" w:rsidRDefault="001B04AC" w:rsidP="001B04AC">
      <w:pPr>
        <w:pStyle w:val="line2"/>
        <w:pBdr>
          <w:bottom w:val="none" w:sz="0" w:space="0" w:color="auto"/>
        </w:pBdr>
        <w:tabs>
          <w:tab w:val="left" w:leader="underscore" w:pos="522"/>
        </w:tabs>
        <w:spacing w:before="240"/>
        <w:ind w:left="0" w:right="0"/>
      </w:pPr>
      <w:r>
        <w:tab/>
      </w:r>
    </w:p>
    <w:p w14:paraId="6100FE49" w14:textId="77777777" w:rsidR="001B04AC" w:rsidRDefault="001B04AC">
      <w:pPr>
        <w:pStyle w:val="AnnexTI"/>
        <w:sectPr w:rsidR="001B04AC" w:rsidSect="001B04AC">
          <w:pgSz w:w="11906" w:h="16838" w:code="9"/>
          <w:pgMar w:top="1680" w:right="1333" w:bottom="840" w:left="1333" w:header="920" w:footer="280" w:gutter="0"/>
          <w:cols w:space="708"/>
          <w:docGrid w:linePitch="360"/>
        </w:sectPr>
      </w:pPr>
    </w:p>
    <w:p w14:paraId="7E283059" w14:textId="77777777" w:rsidR="00B174BB" w:rsidRDefault="005B47E0" w:rsidP="001B04AC">
      <w:pPr>
        <w:pStyle w:val="AnnexTI"/>
        <w:spacing w:after="360"/>
      </w:pPr>
      <w:r>
        <w:lastRenderedPageBreak/>
        <w:t>VEDLEGG</w:t>
      </w:r>
    </w:p>
    <w:p w14:paraId="66D3D3DF" w14:textId="77777777" w:rsidR="00B174BB" w:rsidRPr="001B04AC" w:rsidRDefault="005B47E0" w:rsidP="001B04AC">
      <w:pPr>
        <w:pStyle w:val="AnnexSTI"/>
        <w:spacing w:line="200" w:lineRule="exact"/>
        <w:rPr>
          <w:sz w:val="16"/>
          <w:szCs w:val="16"/>
        </w:rPr>
      </w:pPr>
      <w:r>
        <w:rPr>
          <w:sz w:val="16"/>
        </w:rPr>
        <w:t>SKJEMA FOR SØKNAD OM REFUSJON OG ERSTATNING</w:t>
      </w:r>
    </w:p>
    <w:p w14:paraId="6773F07F" w14:textId="77777777" w:rsidR="00B174BB" w:rsidRDefault="005B47E0">
      <w:pPr>
        <w:pStyle w:val="AnnexSTI"/>
      </w:pPr>
      <w:r>
        <w:t>i henhold til europaparlaments- og rådsforordning (EU) 2021/782</w:t>
      </w:r>
    </w:p>
    <w:p w14:paraId="65DE13D9" w14:textId="77777777" w:rsidR="00B174BB" w:rsidRDefault="005B47E0">
      <w:pPr>
        <w:pStyle w:val="AnnexNormal"/>
      </w:pPr>
      <w:r>
        <w:rPr>
          <w:i/>
        </w:rPr>
        <w:t>Passasjerer kan bruke dette skjemaet til å søke om refusjon, erstatning eller begge deler fra jernbaneforetak.</w:t>
      </w:r>
    </w:p>
    <w:p w14:paraId="13AC5243" w14:textId="77777777" w:rsidR="00B174BB" w:rsidRDefault="005B47E0">
      <w:pPr>
        <w:pStyle w:val="AnnexNormal"/>
      </w:pPr>
      <w:r>
        <w:rPr>
          <w:i/>
        </w:rPr>
        <w:t>Passasjerer har rett til å bruke dette skjemaet. Vær likevel oppmerksom på at det ikke er obligatorisk å bruke dette skjemaet. Noen jernbaneforetak kan ha et eget nettskjema eller lignende system for behandling av søknader om refusjon eller erstatning på foretakets nettsted eller via en mobilapplikasjon. Det kan være tidsfrister for innsending av søknader som gjelder i henhold til nasjonal rett.</w:t>
      </w:r>
    </w:p>
    <w:p w14:paraId="54DC936E" w14:textId="77777777" w:rsidR="00B174BB" w:rsidRDefault="005B47E0">
      <w:pPr>
        <w:pStyle w:val="AnnexNormal"/>
      </w:pPr>
      <w:r>
        <w:rPr>
          <w:i/>
        </w:rPr>
        <w:t>Vær oppmerksom på at noen jernbaneforetak kan tilby gunstigere vilkår for refusjon og erstatning enn det som er fastsatt i europaparlaments- og rådsforordning (EU) 2021/782</w:t>
      </w:r>
      <w:r>
        <w:t>(</w:t>
      </w:r>
      <w:bookmarkStart w:id="2" w:name="NOTE_3"/>
      <w:r w:rsidRPr="001B04AC">
        <w:rPr>
          <w:rStyle w:val="Fotnotereferanse"/>
          <w:sz w:val="18"/>
          <w:szCs w:val="18"/>
        </w:rPr>
        <w:footnoteReference w:id="4"/>
      </w:r>
      <w:bookmarkEnd w:id="2"/>
      <w:r>
        <w:t>)</w:t>
      </w:r>
      <w:r>
        <w:rPr>
          <w:i/>
        </w:rPr>
        <w:t>. Det anbefales derfor å sjekke vilkårene hos det aktuelle jernbaneforetaket.</w:t>
      </w:r>
    </w:p>
    <w:p w14:paraId="2D10BA8E" w14:textId="77777777" w:rsidR="00B174BB" w:rsidRDefault="005B47E0">
      <w:pPr>
        <w:pStyle w:val="AnnexNormal"/>
      </w:pPr>
      <w:r>
        <w:rPr>
          <w:i/>
        </w:rPr>
        <w:t>Fyll ut de relevante delene av skjemaet tydelig med STORE BOKSTAVER.</w:t>
      </w:r>
    </w:p>
    <w:p w14:paraId="75D19A05" w14:textId="77777777" w:rsidR="00B174BB" w:rsidRDefault="005B47E0" w:rsidP="005F2F9C">
      <w:pPr>
        <w:pStyle w:val="AnnexNumberedText"/>
        <w:spacing w:after="200"/>
        <w:ind w:left="279" w:hanging="279"/>
      </w:pPr>
      <w:r>
        <w:t>1.</w:t>
      </w:r>
      <w:r>
        <w:rPr>
          <w:b/>
        </w:rPr>
        <w:tab/>
        <w:t>Årsaken(e) til søknaden</w:t>
      </w:r>
    </w:p>
    <w:tbl>
      <w:tblPr>
        <w:tblStyle w:val="EFTATable"/>
        <w:tblW w:w="8952" w:type="dxa"/>
        <w:tblInd w:w="328" w:type="dxa"/>
        <w:tblBorders>
          <w:left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952"/>
      </w:tblGrid>
      <w:tr w:rsidR="00B174BB" w14:paraId="353AD3D6" w14:textId="77777777" w:rsidTr="0065730D">
        <w:trPr>
          <w:trHeight w:val="360"/>
        </w:trPr>
        <w:tc>
          <w:tcPr>
            <w:tcW w:w="8952" w:type="dxa"/>
            <w:tcMar>
              <w:right w:w="0" w:type="dxa"/>
            </w:tcMar>
          </w:tcPr>
          <w:p w14:paraId="050EBA1D" w14:textId="77777777" w:rsidR="00B174BB" w:rsidRDefault="005B47E0">
            <w:pPr>
              <w:pStyle w:val="AnnexTableCellLeft"/>
            </w:pPr>
            <w:r>
              <w:rPr>
                <w:i/>
              </w:rPr>
              <w:t>Sett kryss [X] ved hver hendelse som søknaden gjelder</w:t>
            </w:r>
          </w:p>
          <w:p w14:paraId="2106AD99" w14:textId="77777777" w:rsidR="00B174BB" w:rsidRDefault="005B47E0" w:rsidP="005F2F9C">
            <w:pPr>
              <w:pStyle w:val="AnnexNumberedText"/>
              <w:spacing w:after="0"/>
              <w:ind w:left="300" w:hanging="300"/>
            </w:pPr>
            <w:r>
              <w:t>☐</w:t>
            </w:r>
            <w:r>
              <w:tab/>
              <w:t>Forsinkelse</w:t>
            </w:r>
          </w:p>
          <w:p w14:paraId="183E8FDD" w14:textId="77777777" w:rsidR="00B174BB" w:rsidRDefault="005B47E0" w:rsidP="005F2F9C">
            <w:pPr>
              <w:pStyle w:val="AnnexNumberedText"/>
              <w:spacing w:after="0"/>
              <w:ind w:left="300" w:hanging="300"/>
            </w:pPr>
            <w:r>
              <w:t>☐</w:t>
            </w:r>
            <w:r>
              <w:tab/>
              <w:t>Innstilling</w:t>
            </w:r>
          </w:p>
          <w:p w14:paraId="3321DD7D" w14:textId="77777777" w:rsidR="00B174BB" w:rsidRDefault="005B47E0" w:rsidP="001B04AC">
            <w:pPr>
              <w:pStyle w:val="AnnexNumberedText"/>
              <w:ind w:left="300" w:hanging="300"/>
            </w:pPr>
            <w:r>
              <w:t>☐</w:t>
            </w:r>
            <w:r>
              <w:tab/>
              <w:t>Tapt korrespondanse på grunn av forsinkelse eller innstilling</w:t>
            </w:r>
          </w:p>
        </w:tc>
      </w:tr>
    </w:tbl>
    <w:p w14:paraId="2CDD80E6" w14:textId="77777777" w:rsidR="00B174BB" w:rsidRDefault="005B47E0" w:rsidP="005F2F9C">
      <w:pPr>
        <w:pStyle w:val="AnnexNumberedText"/>
        <w:spacing w:before="400" w:after="200"/>
        <w:ind w:left="279" w:hanging="279"/>
      </w:pPr>
      <w:r>
        <w:t>2.</w:t>
      </w:r>
      <w:r>
        <w:rPr>
          <w:b/>
        </w:rPr>
        <w:tab/>
        <w:t>Tidligere søknad om refusjon/erstatning for forsinkelse / innstilling / tapt korrespondanse for samme togreise</w:t>
      </w:r>
    </w:p>
    <w:tbl>
      <w:tblPr>
        <w:tblStyle w:val="EFTATable"/>
        <w:tblW w:w="8964" w:type="dxa"/>
        <w:tblInd w:w="316" w:type="dxa"/>
        <w:tblBorders>
          <w:left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964"/>
      </w:tblGrid>
      <w:tr w:rsidR="00B174BB" w14:paraId="243AD3D9" w14:textId="77777777" w:rsidTr="0065730D">
        <w:trPr>
          <w:trHeight w:val="240"/>
        </w:trPr>
        <w:tc>
          <w:tcPr>
            <w:tcW w:w="8964" w:type="dxa"/>
          </w:tcPr>
          <w:p w14:paraId="48A6CE52" w14:textId="77777777" w:rsidR="00B174BB" w:rsidRDefault="005B47E0">
            <w:pPr>
              <w:pStyle w:val="AnnexTableCellLeft"/>
            </w:pPr>
            <w:r>
              <w:rPr>
                <w:i/>
              </w:rPr>
              <w:t>Jernbaneforetak kan ha et eget nettskjema eller lignende system for behandling av søknader om refusjon eller erstatning på foretakets nettsted eller via en mobilapplikasjon.</w:t>
            </w:r>
          </w:p>
          <w:p w14:paraId="424606AA" w14:textId="77777777" w:rsidR="00B174BB" w:rsidRDefault="005B47E0" w:rsidP="005F2F9C">
            <w:pPr>
              <w:pStyle w:val="AnnexTableCellLeft"/>
              <w:spacing w:after="120"/>
            </w:pPr>
            <w:r>
              <w:rPr>
                <w:i/>
              </w:rPr>
              <w:t>Har du allerede søkt om refusjon og/eller erstatning for en innstilling, forsinkelse eller tapt korrespondanse under samme togreise via slike kanaler? Hvis ja, skriv inn informasjonen nedenfor.</w:t>
            </w:r>
          </w:p>
          <w:p w14:paraId="137A90A9" w14:textId="77777777" w:rsidR="00B174BB" w:rsidRDefault="005B47E0">
            <w:pPr>
              <w:pStyle w:val="AnnexNumberedText"/>
              <w:ind w:left="414" w:hanging="414"/>
            </w:pPr>
            <w:r>
              <w:t>2.1.</w:t>
            </w:r>
            <w:r>
              <w:tab/>
              <w:t xml:space="preserve">Dato for tidligere søknad om refusjon/erstatning for samme togreise </w:t>
            </w:r>
            <w:r>
              <w:rPr>
                <w:i/>
              </w:rPr>
              <w:t>(dag/måned/år)</w:t>
            </w:r>
            <w:r>
              <w:t>: …./…./….</w:t>
            </w:r>
          </w:p>
          <w:p w14:paraId="600C6242" w14:textId="77777777" w:rsidR="00B174BB" w:rsidRDefault="005B47E0">
            <w:pPr>
              <w:pStyle w:val="AnnexNumberedText"/>
              <w:ind w:left="414" w:hanging="414"/>
            </w:pPr>
            <w:r>
              <w:t>2.2.</w:t>
            </w:r>
            <w:r>
              <w:tab/>
              <w:t xml:space="preserve">Søknaden var adressert til </w:t>
            </w:r>
            <w:r>
              <w:rPr>
                <w:i/>
              </w:rPr>
              <w:t>(oppgi navnet på jernbaneforetaket – dersom flere jernbaneforetak var involvert, oppgis alle foretakene her)</w:t>
            </w:r>
            <w:r>
              <w:t>:</w:t>
            </w:r>
          </w:p>
          <w:p w14:paraId="56226706" w14:textId="77777777" w:rsidR="00B174BB" w:rsidRDefault="005F2F9C" w:rsidP="005F2F9C">
            <w:pPr>
              <w:pStyle w:val="AnnexTableCellLeft"/>
              <w:tabs>
                <w:tab w:val="left" w:leader="dot" w:pos="8865"/>
              </w:tabs>
              <w:ind w:left="414"/>
            </w:pPr>
            <w:r>
              <w:tab/>
            </w:r>
          </w:p>
          <w:p w14:paraId="00D74459" w14:textId="77777777" w:rsidR="00B174BB" w:rsidRDefault="005B47E0">
            <w:pPr>
              <w:pStyle w:val="AnnexNumberedText"/>
              <w:ind w:left="414" w:hanging="414"/>
            </w:pPr>
            <w:r>
              <w:t>2.3.</w:t>
            </w:r>
            <w:r>
              <w:tab/>
              <w:t xml:space="preserve">Metode brukt ved den tidligere søknaden </w:t>
            </w:r>
            <w:r>
              <w:rPr>
                <w:i/>
              </w:rPr>
              <w:t>(f.eks. nettskjema eller mobilapp – oppgi referansen for denne søknaden dersom den er tilgjengelig)</w:t>
            </w:r>
            <w:r>
              <w:t>:</w:t>
            </w:r>
          </w:p>
          <w:p w14:paraId="5D65C4C6" w14:textId="77777777" w:rsidR="00B174BB" w:rsidRDefault="005F2F9C" w:rsidP="005F2F9C">
            <w:pPr>
              <w:pStyle w:val="AnnexTableCellLeft"/>
              <w:tabs>
                <w:tab w:val="left" w:leader="dot" w:pos="8865"/>
              </w:tabs>
              <w:ind w:left="414"/>
            </w:pPr>
            <w:r>
              <w:tab/>
            </w:r>
          </w:p>
        </w:tc>
      </w:tr>
    </w:tbl>
    <w:p w14:paraId="7FDDEAB1" w14:textId="77777777" w:rsidR="00B174BB" w:rsidRDefault="005B47E0" w:rsidP="005F2F9C">
      <w:pPr>
        <w:pStyle w:val="AnnexNumberedText"/>
        <w:spacing w:before="400" w:after="200"/>
        <w:ind w:left="279" w:hanging="279"/>
      </w:pPr>
      <w:r>
        <w:t>3.</w:t>
      </w:r>
      <w:r>
        <w:rPr>
          <w:b/>
        </w:rPr>
        <w:tab/>
        <w:t>Opplysninger om reisen</w:t>
      </w:r>
    </w:p>
    <w:tbl>
      <w:tblPr>
        <w:tblStyle w:val="EFTATable"/>
        <w:tblW w:w="8952" w:type="dxa"/>
        <w:tblInd w:w="316" w:type="dxa"/>
        <w:tblBorders>
          <w:left w:val="single" w:sz="4" w:space="0" w:color="auto"/>
          <w:right w:val="single" w:sz="4" w:space="0" w:color="auto"/>
        </w:tblBorders>
        <w:tblLayout w:type="fixed"/>
        <w:tblLook w:val="04A0" w:firstRow="1" w:lastRow="0" w:firstColumn="1" w:lastColumn="0" w:noHBand="0" w:noVBand="1"/>
      </w:tblPr>
      <w:tblGrid>
        <w:gridCol w:w="8952"/>
      </w:tblGrid>
      <w:tr w:rsidR="00B174BB" w14:paraId="636AAEC7" w14:textId="77777777" w:rsidTr="0065730D">
        <w:trPr>
          <w:trHeight w:val="240"/>
        </w:trPr>
        <w:tc>
          <w:tcPr>
            <w:tcW w:w="8952" w:type="dxa"/>
          </w:tcPr>
          <w:p w14:paraId="7F8197B6" w14:textId="77777777" w:rsidR="00B174BB" w:rsidRDefault="005B47E0" w:rsidP="005F2F9C">
            <w:pPr>
              <w:pStyle w:val="AnnexNumberedText"/>
              <w:ind w:left="549" w:hanging="549"/>
            </w:pPr>
            <w:r>
              <w:t>3.1.</w:t>
            </w:r>
            <w:r>
              <w:tab/>
              <w:t>Navn på jernbaneforetak</w:t>
            </w:r>
          </w:p>
          <w:p w14:paraId="29A6146F" w14:textId="77777777" w:rsidR="00B174BB" w:rsidRDefault="005F2F9C" w:rsidP="005F2F9C">
            <w:pPr>
              <w:pStyle w:val="AnnexTableCellLeft"/>
              <w:tabs>
                <w:tab w:val="left" w:leader="dot" w:pos="8821"/>
              </w:tabs>
              <w:ind w:left="549"/>
            </w:pPr>
            <w:r>
              <w:tab/>
            </w:r>
          </w:p>
        </w:tc>
      </w:tr>
      <w:tr w:rsidR="00B174BB" w14:paraId="0AD91D62" w14:textId="77777777" w:rsidTr="0065730D">
        <w:trPr>
          <w:trHeight w:val="360"/>
        </w:trPr>
        <w:tc>
          <w:tcPr>
            <w:tcW w:w="8952" w:type="dxa"/>
          </w:tcPr>
          <w:p w14:paraId="0EBFFAF0" w14:textId="77777777" w:rsidR="00B174BB" w:rsidRDefault="005B47E0">
            <w:pPr>
              <w:pStyle w:val="AnnexNumberedText"/>
              <w:ind w:left="549" w:hanging="549"/>
            </w:pPr>
            <w:r>
              <w:t>3.2.</w:t>
            </w:r>
            <w:r>
              <w:tab/>
              <w:t>Planlagt reise</w:t>
            </w:r>
          </w:p>
          <w:p w14:paraId="760A7937" w14:textId="77777777" w:rsidR="00B174BB" w:rsidRDefault="005B47E0">
            <w:pPr>
              <w:pStyle w:val="AnnexNumberedText"/>
              <w:ind w:left="549" w:hanging="549"/>
            </w:pPr>
            <w:r>
              <w:t>3.2.1.</w:t>
            </w:r>
            <w:r>
              <w:tab/>
              <w:t xml:space="preserve">Avreisedato </w:t>
            </w:r>
            <w:r>
              <w:rPr>
                <w:i/>
              </w:rPr>
              <w:t>(dag/måned/år)</w:t>
            </w:r>
            <w:r>
              <w:t>: …./…./….</w:t>
            </w:r>
          </w:p>
        </w:tc>
      </w:tr>
      <w:tr w:rsidR="00B174BB" w14:paraId="69E91E02" w14:textId="77777777" w:rsidTr="0065730D">
        <w:trPr>
          <w:trHeight w:val="240"/>
        </w:trPr>
        <w:tc>
          <w:tcPr>
            <w:tcW w:w="8952" w:type="dxa"/>
            <w:tcMar>
              <w:top w:w="60" w:type="dxa"/>
              <w:bottom w:w="60" w:type="dxa"/>
            </w:tcMar>
          </w:tcPr>
          <w:p w14:paraId="4648E961" w14:textId="77777777" w:rsidR="00B174BB" w:rsidRDefault="005B47E0" w:rsidP="00F81E35">
            <w:pPr>
              <w:pStyle w:val="AnnexNumberedText"/>
              <w:pageBreakBefore/>
              <w:ind w:left="549" w:hanging="549"/>
            </w:pPr>
            <w:r>
              <w:lastRenderedPageBreak/>
              <w:t>3.2.2.</w:t>
            </w:r>
            <w:r>
              <w:tab/>
              <w:t>Avgangsstasjon:</w:t>
            </w:r>
          </w:p>
          <w:p w14:paraId="762E1197" w14:textId="77777777" w:rsidR="00B174BB" w:rsidRDefault="00F81E35" w:rsidP="00F81E35">
            <w:pPr>
              <w:pStyle w:val="AnnexTableCellLeft"/>
              <w:pageBreakBefore/>
              <w:tabs>
                <w:tab w:val="left" w:leader="dot" w:pos="8841"/>
              </w:tabs>
              <w:ind w:left="549"/>
            </w:pPr>
            <w:r>
              <w:tab/>
            </w:r>
          </w:p>
          <w:p w14:paraId="6065C883" w14:textId="77777777" w:rsidR="00B174BB" w:rsidRDefault="005B47E0" w:rsidP="00F81E35">
            <w:pPr>
              <w:pStyle w:val="AnnexNumberedText"/>
              <w:pageBreakBefore/>
              <w:ind w:left="549" w:hanging="549"/>
            </w:pPr>
            <w:r>
              <w:t>3.2.3.</w:t>
            </w:r>
            <w:r>
              <w:tab/>
              <w:t>Bestemmelsesstasjon:</w:t>
            </w:r>
          </w:p>
          <w:p w14:paraId="3BCA30C4" w14:textId="77777777" w:rsidR="00B174BB" w:rsidRDefault="00F81E35" w:rsidP="00F81E35">
            <w:pPr>
              <w:pStyle w:val="AnnexTableCellLeft"/>
              <w:pageBreakBefore/>
              <w:tabs>
                <w:tab w:val="left" w:leader="dot" w:pos="8841"/>
              </w:tabs>
              <w:ind w:left="549"/>
            </w:pPr>
            <w:r>
              <w:tab/>
            </w:r>
          </w:p>
          <w:p w14:paraId="56BDAD9D" w14:textId="77777777" w:rsidR="00B174BB" w:rsidRDefault="005B47E0" w:rsidP="00F81E35">
            <w:pPr>
              <w:pStyle w:val="AnnexNumberedText"/>
              <w:pageBreakBefore/>
              <w:ind w:left="549" w:hanging="549"/>
            </w:pPr>
            <w:r>
              <w:t>3.2.4.</w:t>
            </w:r>
            <w:r>
              <w:tab/>
              <w:t xml:space="preserve">Oppsatt avgangstid </w:t>
            </w:r>
            <w:r>
              <w:rPr>
                <w:i/>
              </w:rPr>
              <w:t>(time/minutt)</w:t>
            </w:r>
            <w:r>
              <w:t>: ....:....</w:t>
            </w:r>
          </w:p>
          <w:p w14:paraId="45BA34C7" w14:textId="77777777" w:rsidR="00B174BB" w:rsidRDefault="005B47E0" w:rsidP="00F81E35">
            <w:pPr>
              <w:pStyle w:val="AnnexNumberedText"/>
              <w:pageBreakBefore/>
              <w:ind w:left="549" w:hanging="549"/>
            </w:pPr>
            <w:r>
              <w:t>3.2.5.</w:t>
            </w:r>
            <w:r>
              <w:tab/>
              <w:t xml:space="preserve">Oppsatt ankomsttid på bestemmelsesstedet </w:t>
            </w:r>
            <w:r>
              <w:rPr>
                <w:i/>
              </w:rPr>
              <w:t>(time/minutt)</w:t>
            </w:r>
            <w:r>
              <w:t>: ....:....</w:t>
            </w:r>
          </w:p>
          <w:p w14:paraId="1387A0D8" w14:textId="77777777" w:rsidR="00B174BB" w:rsidRDefault="005B47E0" w:rsidP="00F81E35">
            <w:pPr>
              <w:pStyle w:val="AnnexNumberedText"/>
              <w:pageBreakBefore/>
              <w:ind w:left="549" w:hanging="549"/>
            </w:pPr>
            <w:r>
              <w:t>3.2.6.</w:t>
            </w:r>
            <w:r>
              <w:tab/>
              <w:t>Tognummer/togkategori:</w:t>
            </w:r>
          </w:p>
          <w:p w14:paraId="55323D2F" w14:textId="77777777" w:rsidR="00B174BB" w:rsidRDefault="00F81E35" w:rsidP="00F81E35">
            <w:pPr>
              <w:pStyle w:val="AnnexTableCellLeft"/>
              <w:pageBreakBefore/>
              <w:tabs>
                <w:tab w:val="left" w:leader="dot" w:pos="8841"/>
              </w:tabs>
              <w:ind w:left="549"/>
            </w:pPr>
            <w:r>
              <w:tab/>
            </w:r>
          </w:p>
          <w:p w14:paraId="03620F31" w14:textId="77777777" w:rsidR="00B174BB" w:rsidRDefault="005B47E0" w:rsidP="00F81E35">
            <w:pPr>
              <w:pStyle w:val="AnnexNumberedText"/>
              <w:pageBreakBefore/>
              <w:ind w:left="549" w:hanging="549"/>
            </w:pPr>
            <w:r>
              <w:t>3.2.7.</w:t>
            </w:r>
            <w:r>
              <w:tab/>
              <w:t>Billettnummer/bestillingsreferanse:</w:t>
            </w:r>
          </w:p>
          <w:p w14:paraId="63ED797B" w14:textId="77777777" w:rsidR="00B174BB" w:rsidRDefault="00F81E35" w:rsidP="00F81E35">
            <w:pPr>
              <w:pStyle w:val="AnnexTableCellLeft"/>
              <w:pageBreakBefore/>
              <w:tabs>
                <w:tab w:val="left" w:leader="dot" w:pos="8841"/>
              </w:tabs>
              <w:ind w:left="549"/>
            </w:pPr>
            <w:r>
              <w:tab/>
            </w:r>
          </w:p>
          <w:p w14:paraId="285A43BE" w14:textId="77777777" w:rsidR="00B174BB" w:rsidRDefault="005B47E0" w:rsidP="00F81E35">
            <w:pPr>
              <w:pStyle w:val="AnnexNumberedText"/>
              <w:pageBreakBefore/>
              <w:ind w:left="549" w:hanging="549"/>
            </w:pPr>
            <w:r>
              <w:t>3.2.8.</w:t>
            </w:r>
            <w:r>
              <w:tab/>
              <w:t>Billettpris(er):</w:t>
            </w:r>
          </w:p>
          <w:p w14:paraId="29E5A49F" w14:textId="77777777" w:rsidR="00B174BB" w:rsidRDefault="00F81E35" w:rsidP="00F81E35">
            <w:pPr>
              <w:pStyle w:val="AnnexTableCellLeft"/>
              <w:pageBreakBefore/>
              <w:tabs>
                <w:tab w:val="left" w:leader="dot" w:pos="8841"/>
              </w:tabs>
              <w:ind w:left="549"/>
            </w:pPr>
            <w:r>
              <w:tab/>
            </w:r>
          </w:p>
        </w:tc>
      </w:tr>
      <w:tr w:rsidR="00B174BB" w14:paraId="2A4346EC" w14:textId="77777777" w:rsidTr="0065730D">
        <w:trPr>
          <w:trHeight w:val="240"/>
        </w:trPr>
        <w:tc>
          <w:tcPr>
            <w:tcW w:w="8952" w:type="dxa"/>
            <w:tcMar>
              <w:top w:w="60" w:type="dxa"/>
              <w:bottom w:w="60" w:type="dxa"/>
            </w:tcMar>
          </w:tcPr>
          <w:p w14:paraId="2F31200C" w14:textId="77777777" w:rsidR="00B174BB" w:rsidRDefault="005B47E0">
            <w:pPr>
              <w:pStyle w:val="AnnexNumberedText"/>
              <w:ind w:left="549" w:hanging="549"/>
            </w:pPr>
            <w:r>
              <w:t>3.3.</w:t>
            </w:r>
            <w:r>
              <w:tab/>
              <w:t>Faktisk reise</w:t>
            </w:r>
          </w:p>
          <w:p w14:paraId="0AA746BA" w14:textId="77777777" w:rsidR="00B174BB" w:rsidRDefault="005B47E0">
            <w:pPr>
              <w:pStyle w:val="AnnexNumberedText"/>
              <w:ind w:left="549" w:hanging="549"/>
            </w:pPr>
            <w:r>
              <w:t>3.3.1.</w:t>
            </w:r>
            <w:r>
              <w:tab/>
              <w:t xml:space="preserve">Dato for faktisk ankomst </w:t>
            </w:r>
            <w:r>
              <w:rPr>
                <w:i/>
              </w:rPr>
              <w:t>(dag/måned/år):</w:t>
            </w:r>
            <w:r>
              <w:t xml:space="preserve"> …./…./….</w:t>
            </w:r>
          </w:p>
          <w:p w14:paraId="4E51034B" w14:textId="77777777" w:rsidR="00B174BB" w:rsidRDefault="005B47E0">
            <w:pPr>
              <w:pStyle w:val="AnnexNumberedText"/>
              <w:ind w:left="549" w:hanging="549"/>
            </w:pPr>
            <w:r>
              <w:t>3.3.2.</w:t>
            </w:r>
            <w:r>
              <w:tab/>
              <w:t xml:space="preserve">Faktisk avgangstid </w:t>
            </w:r>
            <w:r>
              <w:rPr>
                <w:i/>
              </w:rPr>
              <w:t>(time/minutt)</w:t>
            </w:r>
            <w:r>
              <w:t>: ....:....</w:t>
            </w:r>
          </w:p>
          <w:p w14:paraId="14F83728" w14:textId="77777777" w:rsidR="00B174BB" w:rsidRDefault="005B47E0">
            <w:pPr>
              <w:pStyle w:val="AnnexNumberedText"/>
              <w:ind w:left="549" w:hanging="549"/>
            </w:pPr>
            <w:r>
              <w:t>3.3.3.</w:t>
            </w:r>
            <w:r>
              <w:tab/>
              <w:t xml:space="preserve">Faktisk ankomsttid på bestemmelsesstedet </w:t>
            </w:r>
            <w:r>
              <w:rPr>
                <w:i/>
              </w:rPr>
              <w:t>(time/minutt)</w:t>
            </w:r>
            <w:r>
              <w:t>: ....:....</w:t>
            </w:r>
          </w:p>
          <w:p w14:paraId="1168A405" w14:textId="77777777" w:rsidR="00B174BB" w:rsidRDefault="005B47E0">
            <w:pPr>
              <w:pStyle w:val="AnnexNumberedText"/>
              <w:ind w:left="549" w:hanging="549"/>
            </w:pPr>
            <w:r>
              <w:t>3.3.4.</w:t>
            </w:r>
            <w:r>
              <w:tab/>
              <w:t>Tognummer/togkategori:</w:t>
            </w:r>
          </w:p>
          <w:p w14:paraId="766906EA" w14:textId="77777777" w:rsidR="00B174BB" w:rsidRDefault="00F81E35" w:rsidP="00F81E35">
            <w:pPr>
              <w:pStyle w:val="AnnexTableCellLeft"/>
              <w:pageBreakBefore/>
              <w:tabs>
                <w:tab w:val="left" w:leader="dot" w:pos="8841"/>
              </w:tabs>
              <w:ind w:left="549"/>
            </w:pPr>
            <w:r>
              <w:tab/>
            </w:r>
          </w:p>
          <w:p w14:paraId="363B3A91" w14:textId="77777777" w:rsidR="00B174BB" w:rsidRDefault="005B47E0">
            <w:pPr>
              <w:pStyle w:val="AnnexNumberedText"/>
              <w:ind w:left="549" w:hanging="549"/>
            </w:pPr>
            <w:r>
              <w:t>3.3.5.</w:t>
            </w:r>
            <w:r>
              <w:tab/>
              <w:t>Tapt korrespondanse på (</w:t>
            </w:r>
            <w:r>
              <w:rPr>
                <w:i/>
              </w:rPr>
              <w:t>stasjon</w:t>
            </w:r>
            <w:r>
              <w:t>):</w:t>
            </w:r>
          </w:p>
          <w:p w14:paraId="19429463" w14:textId="77777777" w:rsidR="00B174BB" w:rsidRDefault="00F81E35" w:rsidP="00F81E35">
            <w:pPr>
              <w:pStyle w:val="AnnexTableCellLeft"/>
              <w:pageBreakBefore/>
              <w:tabs>
                <w:tab w:val="left" w:leader="dot" w:pos="8841"/>
              </w:tabs>
              <w:ind w:left="549"/>
            </w:pPr>
            <w:r>
              <w:tab/>
            </w:r>
          </w:p>
        </w:tc>
      </w:tr>
    </w:tbl>
    <w:p w14:paraId="7204A4F9" w14:textId="77777777" w:rsidR="00B174BB" w:rsidRDefault="005B47E0" w:rsidP="00F81E35">
      <w:pPr>
        <w:pStyle w:val="AnnexNumberedText"/>
        <w:spacing w:before="500" w:after="300"/>
        <w:ind w:left="279" w:hanging="279"/>
      </w:pPr>
      <w:r>
        <w:t>4.</w:t>
      </w:r>
      <w:r>
        <w:rPr>
          <w:b/>
        </w:rPr>
        <w:tab/>
        <w:t>Type søknad til jernbaneforetaket</w:t>
      </w:r>
    </w:p>
    <w:tbl>
      <w:tblPr>
        <w:tblStyle w:val="EFTATable"/>
        <w:tblW w:w="8964" w:type="dxa"/>
        <w:tblInd w:w="316" w:type="dxa"/>
        <w:tblLayout w:type="fixed"/>
        <w:tblLook w:val="04A0" w:firstRow="1" w:lastRow="0" w:firstColumn="1" w:lastColumn="0" w:noHBand="0" w:noVBand="1"/>
      </w:tblPr>
      <w:tblGrid>
        <w:gridCol w:w="4404"/>
        <w:gridCol w:w="4560"/>
      </w:tblGrid>
      <w:tr w:rsidR="00B174BB" w14:paraId="2FB05609" w14:textId="77777777" w:rsidTr="0065730D">
        <w:trPr>
          <w:trHeight w:val="220"/>
        </w:trPr>
        <w:tc>
          <w:tcPr>
            <w:tcW w:w="8964" w:type="dxa"/>
            <w:gridSpan w:val="2"/>
            <w:tcBorders>
              <w:left w:val="single" w:sz="4" w:space="0" w:color="auto"/>
              <w:right w:val="single" w:sz="4" w:space="0" w:color="auto"/>
            </w:tcBorders>
            <w:tcMar>
              <w:top w:w="60" w:type="dxa"/>
              <w:bottom w:w="60" w:type="dxa"/>
            </w:tcMar>
          </w:tcPr>
          <w:p w14:paraId="3739CB1C" w14:textId="77777777" w:rsidR="00B174BB" w:rsidRDefault="005B47E0">
            <w:pPr>
              <w:pStyle w:val="AnnexTableCellLeft"/>
            </w:pPr>
            <w:r>
              <w:rPr>
                <w:i/>
              </w:rPr>
              <w:t>Sett kryss [X] ved det som kravet/kravene gjelder.</w:t>
            </w:r>
          </w:p>
          <w:p w14:paraId="3F31C551" w14:textId="77777777" w:rsidR="00B174BB" w:rsidRDefault="005B47E0" w:rsidP="00F81E35">
            <w:pPr>
              <w:pStyle w:val="AnnexNumberedText"/>
              <w:ind w:left="357" w:hanging="357"/>
            </w:pPr>
            <w:r>
              <w:t>☐</w:t>
            </w:r>
            <w:r>
              <w:rPr>
                <w:b/>
              </w:rPr>
              <w:tab/>
              <w:t>Refusjon fra jernbaneforetak for billett(er)(*)</w:t>
            </w:r>
            <w:r>
              <w:t>,(**) på grunn av innstilt eller forsinket tog eller tapt korrespondanse som ville ført til en forventet forsinkelse av ankomsten til det endelige bestemmelsesstedet på 60 minutter eller mer.</w:t>
            </w:r>
          </w:p>
          <w:p w14:paraId="736B8D96" w14:textId="77777777" w:rsidR="00B174BB" w:rsidRDefault="005B47E0" w:rsidP="00F81E35">
            <w:pPr>
              <w:pStyle w:val="AnnexNumberedText"/>
              <w:ind w:left="357" w:hanging="357"/>
            </w:pPr>
            <w:r>
              <w:t>☐</w:t>
            </w:r>
            <w:r>
              <w:rPr>
                <w:b/>
              </w:rPr>
              <w:tab/>
              <w:t>Erstatning fra jernbaneforetak</w:t>
            </w:r>
            <w:r>
              <w:t xml:space="preserve"> (**) </w:t>
            </w:r>
            <w:r>
              <w:rPr>
                <w:i/>
              </w:rPr>
              <w:t>(velg ett alternativ)</w:t>
            </w:r>
          </w:p>
          <w:p w14:paraId="0023B98B" w14:textId="77777777" w:rsidR="00B174BB" w:rsidRDefault="005B47E0" w:rsidP="00F81E35">
            <w:pPr>
              <w:pStyle w:val="AnnexNumberedText"/>
              <w:ind w:left="468" w:hanging="111"/>
            </w:pPr>
            <w:r>
              <w:t>☐</w:t>
            </w:r>
            <w:r>
              <w:tab/>
              <w:t>For en forsinkelse av ankomsten til det endelige bestemmelsesstedet på 60–119 minutter (***).</w:t>
            </w:r>
          </w:p>
          <w:p w14:paraId="7591BB52" w14:textId="77777777" w:rsidR="00B174BB" w:rsidRDefault="005B47E0" w:rsidP="00F81E35">
            <w:pPr>
              <w:pStyle w:val="AnnexNumberedText"/>
              <w:ind w:left="468" w:hanging="111"/>
            </w:pPr>
            <w:r>
              <w:t>☐</w:t>
            </w:r>
            <w:r>
              <w:tab/>
              <w:t>For en forsinkelse av ankomsten til det endelige bestemmelsesstedet på 120 minutter eller mer.</w:t>
            </w:r>
          </w:p>
          <w:p w14:paraId="72CC30F9" w14:textId="77777777" w:rsidR="00B174BB" w:rsidRDefault="005B47E0" w:rsidP="00F81E35">
            <w:pPr>
              <w:pStyle w:val="AnnexNumberedText"/>
              <w:ind w:left="468" w:hanging="111"/>
            </w:pPr>
            <w:r>
              <w:t>☐</w:t>
            </w:r>
            <w:r>
              <w:tab/>
              <w:t>For gjentatte forsinkelser eller innstillinger som en en passasjer med abonnementskort eller periodekort blir rammet av(****).</w:t>
            </w:r>
          </w:p>
          <w:p w14:paraId="1E7FB62C" w14:textId="77777777" w:rsidR="00B174BB" w:rsidRDefault="005B47E0" w:rsidP="00F81E35">
            <w:pPr>
              <w:pStyle w:val="AnnexNumberedText"/>
              <w:ind w:left="357" w:hanging="357"/>
            </w:pPr>
            <w:r>
              <w:t>☐</w:t>
            </w:r>
            <w:r>
              <w:rPr>
                <w:b/>
              </w:rPr>
              <w:tab/>
              <w:t>Refusjon fra jernbaneforetak av kostnader for bruk av andre leverandører av transporttjenester, eller andre kostnader</w:t>
            </w:r>
            <w:r>
              <w:t xml:space="preserve"> (utlegg for annen jernbanetransport, buss, taxi, hotell eller annen innkvartering, måltider, forfriskninger)(*****).</w:t>
            </w:r>
          </w:p>
          <w:p w14:paraId="247C7740" w14:textId="77777777" w:rsidR="00B174BB" w:rsidRDefault="005B47E0">
            <w:pPr>
              <w:pStyle w:val="AnnexTableCellLeft"/>
            </w:pPr>
            <w:r>
              <w:rPr>
                <w:b/>
                <w:i/>
              </w:rPr>
              <w:t>Vær oppmerksom på at du ikke kan søke om erstatning og refusjon fra jernbaneforetak dersom du har mistet en eller flere korresponderende avganger, når alle følgende vilkår gjelder:</w:t>
            </w:r>
          </w:p>
          <w:p w14:paraId="55F78DBE" w14:textId="77777777" w:rsidR="00B174BB" w:rsidRDefault="005B47E0">
            <w:pPr>
              <w:pStyle w:val="AnnexNumberedText"/>
              <w:tabs>
                <w:tab w:val="right" w:pos="149"/>
              </w:tabs>
              <w:ind w:left="293" w:hanging="293"/>
            </w:pPr>
            <w:r>
              <w:tab/>
              <w:t>1)</w:t>
            </w:r>
            <w:r>
              <w:rPr>
                <w:i/>
              </w:rPr>
              <w:tab/>
              <w:t>Du har kjøpt en eller flere billetter i en enkelt kommersiell transaksjon til en reise som inkluderer en eller flere korresponderende avganger.</w:t>
            </w:r>
          </w:p>
          <w:p w14:paraId="15059468" w14:textId="77777777" w:rsidR="00B174BB" w:rsidRDefault="005B47E0">
            <w:pPr>
              <w:pStyle w:val="AnnexNumberedText"/>
              <w:tabs>
                <w:tab w:val="right" w:pos="149"/>
              </w:tabs>
              <w:ind w:left="293" w:hanging="293"/>
            </w:pPr>
            <w:r>
              <w:tab/>
              <w:t>2)</w:t>
            </w:r>
            <w:r>
              <w:rPr>
                <w:i/>
              </w:rPr>
              <w:tab/>
              <w:t>Det er angitt på billettene eller i et annet (elektronisk) dokument at billettene utgjør atskilte transportavtaler.</w:t>
            </w:r>
          </w:p>
          <w:p w14:paraId="121B2038" w14:textId="77777777" w:rsidR="00B174BB" w:rsidRDefault="005B47E0">
            <w:pPr>
              <w:pStyle w:val="AnnexNumberedText"/>
              <w:tabs>
                <w:tab w:val="right" w:pos="149"/>
              </w:tabs>
              <w:ind w:left="293" w:hanging="293"/>
            </w:pPr>
            <w:r>
              <w:tab/>
              <w:t>3)</w:t>
            </w:r>
            <w:r>
              <w:rPr>
                <w:i/>
              </w:rPr>
              <w:tab/>
              <w:t>Du ble informert om dette før kjøpet.</w:t>
            </w:r>
          </w:p>
          <w:p w14:paraId="35AFADEE" w14:textId="77777777" w:rsidR="00B174BB" w:rsidRDefault="00F81E35">
            <w:pPr>
              <w:pStyle w:val="AnnexTableGrAnnotations"/>
              <w:ind w:left="239" w:hanging="239"/>
            </w:pPr>
            <w:r>
              <w:t>(*)</w:t>
            </w:r>
            <w:r>
              <w:rPr>
                <w:i/>
              </w:rPr>
              <w:tab/>
              <w:t>Refusjonen skal utbetales innen 30 dager etter at søknaden er mottatt. Du har ikke rett til refusjon for billetten(e) dersom jernbaneforetaket tilbød og traff de nødvendige tiltakene for omlegging eller fortsettelse av reisen til det endelige bestemmelsesstedet, og du aksepterte dette tilbudet.</w:t>
            </w:r>
          </w:p>
        </w:tc>
      </w:tr>
      <w:tr w:rsidR="00B174BB" w14:paraId="10BD875E" w14:textId="77777777" w:rsidTr="0065730D">
        <w:trPr>
          <w:trHeight w:val="220"/>
        </w:trPr>
        <w:tc>
          <w:tcPr>
            <w:tcW w:w="8964" w:type="dxa"/>
            <w:gridSpan w:val="2"/>
            <w:tcBorders>
              <w:left w:val="single" w:sz="4" w:space="0" w:color="auto"/>
              <w:right w:val="single" w:sz="4" w:space="0" w:color="auto"/>
            </w:tcBorders>
          </w:tcPr>
          <w:p w14:paraId="1AE15131" w14:textId="77777777" w:rsidR="00B174BB" w:rsidRDefault="00FB0829" w:rsidP="00FB0829">
            <w:pPr>
              <w:pStyle w:val="AnnexTableGrAnnotations"/>
              <w:pageBreakBefore/>
              <w:widowControl w:val="0"/>
              <w:spacing w:after="120"/>
              <w:ind w:left="657" w:hanging="657"/>
            </w:pPr>
            <w:r>
              <w:lastRenderedPageBreak/>
              <w:t>(**)</w:t>
            </w:r>
            <w:r>
              <w:rPr>
                <w:i/>
              </w:rPr>
              <w:tab/>
              <w:t>Erstatningen av billettprisen skal utbetales innen en måned etter at søknaden om erstatning er sendt inn. Vær oppmerksom på at jernbaneforetak kan innføre en minste beløpsgrense for utbetaling av erstatning. Denne grensen skal ikke være over fire euro per billett. Det gjøres også oppmerksom på at du kan søke om enten erstatning eller om refusjon for billetten(e) fra et jernbaneforetak, men ikke om begge deler for samme reise</w:t>
            </w:r>
            <w:r>
              <w:t>.</w:t>
            </w:r>
          </w:p>
          <w:p w14:paraId="50F487F0" w14:textId="77777777" w:rsidR="00B174BB" w:rsidRDefault="00FB0829" w:rsidP="00FB0829">
            <w:pPr>
              <w:pStyle w:val="AnnexTableGrAnnotations"/>
              <w:pageBreakBefore/>
              <w:widowControl w:val="0"/>
              <w:spacing w:after="120"/>
              <w:ind w:left="657" w:hanging="657"/>
            </w:pPr>
            <w:r>
              <w:t>(***)</w:t>
            </w:r>
            <w:r>
              <w:rPr>
                <w:i/>
              </w:rPr>
              <w:tab/>
              <w:t>Vær oppmerksom på at noen jernbaneforetak kan gi erstatning for kortere forsinkelser enn 60 minutter.</w:t>
            </w:r>
          </w:p>
          <w:p w14:paraId="500FD26F" w14:textId="77777777" w:rsidR="00B174BB" w:rsidRDefault="00FB0829" w:rsidP="00FB0829">
            <w:pPr>
              <w:pStyle w:val="AnnexTableGrAnnotations"/>
              <w:pageBreakBefore/>
              <w:widowControl w:val="0"/>
              <w:spacing w:after="120"/>
              <w:ind w:left="657" w:hanging="657"/>
            </w:pPr>
            <w:r>
              <w:t>(****)</w:t>
            </w:r>
            <w:r>
              <w:rPr>
                <w:i/>
              </w:rPr>
              <w:tab/>
              <w:t>Vær oppmerksom på at kriteriene for bestemmelse av forsinkelser og for beregning av erstatning er angitt i jernbaneforetakets erstatningsordninger i samsvar med artikkel 19 nr. 2 i forordning (EU) 2021/782.</w:t>
            </w:r>
          </w:p>
          <w:p w14:paraId="0A08DAC6" w14:textId="77777777" w:rsidR="00B174BB" w:rsidRDefault="00FB0829" w:rsidP="00FB0829">
            <w:pPr>
              <w:pStyle w:val="AnnexTableGrAnnotations"/>
              <w:pageBreakBefore/>
              <w:ind w:left="657" w:hanging="657"/>
            </w:pPr>
            <w:r>
              <w:t>(*****)</w:t>
            </w:r>
            <w:r>
              <w:rPr>
                <w:i/>
              </w:rPr>
              <w:tab/>
              <w:t>Bare kostnader som er rimelige i henhold til artikkel 18 nr. 3 og artikkel 20 nr. 2 i forordning (EU) 2021/782, tas i betraktning. Vær oppmerksom på at jernbaneforetak bør tilby måltider og forfriskninger som står i et rimelig forhold til ventetiden, dersom slikt finnes om bord på toget eller på stasjonen, eller dersom dette kan leveres på rimelige vilkår, idet det tas hensyn til kriterier som avstand fra leverandøren, leveringstid og kostnad. Refusjon av kostnadene for bruk av andre leverandører av transporttjenester skal utbetales innen 30 dager etter mottak av søknaden. Det anbefales sterkt å sende inn relevante underlagsdokumenter.</w:t>
            </w:r>
          </w:p>
        </w:tc>
      </w:tr>
      <w:tr w:rsidR="00B174BB" w14:paraId="4B27AF51" w14:textId="77777777" w:rsidTr="0065730D">
        <w:trPr>
          <w:trHeight w:val="240"/>
        </w:trPr>
        <w:tc>
          <w:tcPr>
            <w:tcW w:w="4404" w:type="dxa"/>
            <w:tcBorders>
              <w:left w:val="single" w:sz="4" w:space="0" w:color="auto"/>
            </w:tcBorders>
          </w:tcPr>
          <w:p w14:paraId="51FEE5C8" w14:textId="77777777" w:rsidR="00B174BB" w:rsidRDefault="005B47E0" w:rsidP="00FB0829">
            <w:pPr>
              <w:pStyle w:val="AnnexTableCellLeft"/>
              <w:widowControl w:val="0"/>
            </w:pPr>
            <w:r>
              <w:rPr>
                <w:b/>
              </w:rPr>
              <w:t>Mer informasjon om passasjerrettigheter og måter å kreve rettighetene på, finner du her:</w:t>
            </w:r>
          </w:p>
          <w:p w14:paraId="3AC2122F" w14:textId="77777777" w:rsidR="00B174BB" w:rsidRDefault="005B47E0">
            <w:pPr>
              <w:pStyle w:val="AnnexNumberedText"/>
              <w:ind w:left="324" w:hanging="324"/>
            </w:pPr>
            <w:r>
              <w:t>—</w:t>
            </w:r>
            <w:r>
              <w:tab/>
              <w:t>på nettstedet «Your Europe»: www.europa.eu/youreurope/citizens/travel</w:t>
            </w:r>
          </w:p>
          <w:p w14:paraId="42405776" w14:textId="77777777" w:rsidR="00B174BB" w:rsidRDefault="005B47E0">
            <w:pPr>
              <w:pStyle w:val="AnnexNumberedText"/>
              <w:ind w:left="324" w:hanging="324"/>
            </w:pPr>
            <w:r>
              <w:t>—</w:t>
            </w:r>
            <w:r>
              <w:tab/>
              <w:t>i appen «Your Passenger Rights» ved å skanne QR-koden</w:t>
            </w:r>
          </w:p>
          <w:p w14:paraId="39682129" w14:textId="77777777" w:rsidR="00B174BB" w:rsidRDefault="005B47E0">
            <w:pPr>
              <w:pStyle w:val="AnnexNumberedText"/>
              <w:ind w:left="324" w:hanging="324"/>
            </w:pPr>
            <w:r>
              <w:t>—</w:t>
            </w:r>
            <w:r>
              <w:tab/>
              <w:t>hos Europe Direct på telefonnummer:</w:t>
            </w:r>
          </w:p>
          <w:p w14:paraId="6ACCECD2" w14:textId="77777777" w:rsidR="00B174BB" w:rsidRDefault="005B47E0">
            <w:pPr>
              <w:pStyle w:val="AnnexTableCellLeft"/>
              <w:ind w:left="324"/>
            </w:pPr>
            <w:r>
              <w:t>00 800 6 7 8 9 10 11</w:t>
            </w:r>
          </w:p>
        </w:tc>
        <w:tc>
          <w:tcPr>
            <w:tcW w:w="4560" w:type="dxa"/>
            <w:tcBorders>
              <w:right w:val="single" w:sz="4" w:space="0" w:color="auto"/>
            </w:tcBorders>
            <w:vAlign w:val="center"/>
          </w:tcPr>
          <w:p w14:paraId="52A626B4" w14:textId="77777777" w:rsidR="00B174BB" w:rsidRDefault="005B47E0" w:rsidP="00FB0829">
            <w:pPr>
              <w:pStyle w:val="Para"/>
              <w:spacing w:line="240" w:lineRule="auto"/>
              <w:jc w:val="center"/>
            </w:pPr>
            <w:r>
              <w:rPr>
                <w:noProof/>
              </w:rPr>
              <w:drawing>
                <wp:inline distT="0" distB="0" distL="0" distR="0" wp14:anchorId="22C0658C" wp14:editId="4A04725E">
                  <wp:extent cx="1188720" cy="1188720"/>
                  <wp:effectExtent l="0" t="0" r="0" b="0"/>
                  <wp:docPr id="1" name="0" descr="C:\euroscript\efta\workspace\TEST\32024R0949\Input\FMX\EN\L_202400949EN.000501.fm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C:\euroscript\efta\workspace\TEST\32024R0949\Input\FMX\EN\L_202400949EN.000501.fmx.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tc>
      </w:tr>
    </w:tbl>
    <w:p w14:paraId="4C7D8DCB" w14:textId="77777777" w:rsidR="00B174BB" w:rsidRDefault="005B47E0" w:rsidP="00FB0829">
      <w:pPr>
        <w:pStyle w:val="AnnexNumberedText"/>
        <w:spacing w:before="700" w:after="300"/>
        <w:ind w:left="279" w:hanging="279"/>
      </w:pPr>
      <w:r>
        <w:t>5.</w:t>
      </w:r>
      <w:r>
        <w:rPr>
          <w:b/>
        </w:rPr>
        <w:tab/>
        <w:t>Personopplysninger</w:t>
      </w:r>
    </w:p>
    <w:tbl>
      <w:tblPr>
        <w:tblStyle w:val="EFTATable"/>
        <w:tblW w:w="8952" w:type="dxa"/>
        <w:tblInd w:w="316" w:type="dxa"/>
        <w:tblBorders>
          <w:left w:val="single" w:sz="4" w:space="0" w:color="auto"/>
          <w:right w:val="single" w:sz="4" w:space="0" w:color="auto"/>
        </w:tblBorders>
        <w:tblLayout w:type="fixed"/>
        <w:tblLook w:val="04A0" w:firstRow="1" w:lastRow="0" w:firstColumn="1" w:lastColumn="0" w:noHBand="0" w:noVBand="1"/>
      </w:tblPr>
      <w:tblGrid>
        <w:gridCol w:w="8952"/>
      </w:tblGrid>
      <w:tr w:rsidR="00B174BB" w14:paraId="188BD63D" w14:textId="77777777" w:rsidTr="0065730D">
        <w:trPr>
          <w:trHeight w:val="360"/>
        </w:trPr>
        <w:tc>
          <w:tcPr>
            <w:tcW w:w="8952" w:type="dxa"/>
            <w:tcMar>
              <w:top w:w="60" w:type="dxa"/>
              <w:bottom w:w="60" w:type="dxa"/>
            </w:tcMar>
          </w:tcPr>
          <w:p w14:paraId="07B576A5" w14:textId="77777777" w:rsidR="00B174BB" w:rsidRDefault="005B47E0">
            <w:pPr>
              <w:pStyle w:val="AnnexNumberedText"/>
              <w:ind w:left="549" w:hanging="549"/>
            </w:pPr>
            <w:r>
              <w:t>5.1.</w:t>
            </w:r>
            <w:r>
              <w:tab/>
              <w:t>Navn</w:t>
            </w:r>
          </w:p>
          <w:p w14:paraId="57955FDF" w14:textId="77777777" w:rsidR="00B174BB" w:rsidRDefault="00240F02" w:rsidP="00240F02">
            <w:pPr>
              <w:pStyle w:val="AnnexNumberedText"/>
              <w:tabs>
                <w:tab w:val="left" w:leader="dot" w:pos="4191"/>
                <w:tab w:val="left" w:leader="dot" w:pos="8771"/>
              </w:tabs>
              <w:ind w:left="549" w:hanging="549"/>
            </w:pPr>
            <w:r>
              <w:t>5.1.1.</w:t>
            </w:r>
            <w:r>
              <w:tab/>
              <w:t xml:space="preserve">Fornavn: </w:t>
            </w:r>
            <w:r>
              <w:tab/>
              <w:t xml:space="preserve"> 5.1.2. Etternavn: </w:t>
            </w:r>
            <w:r>
              <w:tab/>
            </w:r>
          </w:p>
        </w:tc>
      </w:tr>
      <w:tr w:rsidR="00B174BB" w14:paraId="38BCB486" w14:textId="77777777" w:rsidTr="0065730D">
        <w:trPr>
          <w:trHeight w:val="360"/>
        </w:trPr>
        <w:tc>
          <w:tcPr>
            <w:tcW w:w="8952" w:type="dxa"/>
            <w:tcMar>
              <w:top w:w="60" w:type="dxa"/>
              <w:bottom w:w="60" w:type="dxa"/>
            </w:tcMar>
          </w:tcPr>
          <w:p w14:paraId="47A6AF09" w14:textId="77777777" w:rsidR="00B174BB" w:rsidRDefault="005B47E0">
            <w:pPr>
              <w:pStyle w:val="AnnexNumberedText"/>
              <w:ind w:left="549" w:hanging="549"/>
            </w:pPr>
            <w:r>
              <w:t>5.2.</w:t>
            </w:r>
            <w:r>
              <w:tab/>
              <w:t>Adresse</w:t>
            </w:r>
          </w:p>
          <w:p w14:paraId="6095D40B" w14:textId="77777777" w:rsidR="00B174BB" w:rsidRDefault="00240F02" w:rsidP="00240F02">
            <w:pPr>
              <w:pStyle w:val="AnnexNumberedText"/>
              <w:tabs>
                <w:tab w:val="left" w:leader="dot" w:pos="4437"/>
                <w:tab w:val="left" w:leader="dot" w:pos="8761"/>
              </w:tabs>
              <w:ind w:left="549" w:hanging="549"/>
            </w:pPr>
            <w:r>
              <w:t>5.2.1.</w:t>
            </w:r>
            <w:r>
              <w:tab/>
              <w:t xml:space="preserve">Gatenavn: </w:t>
            </w:r>
            <w:r>
              <w:tab/>
              <w:t xml:space="preserve"> 5.2.2. Nr.: </w:t>
            </w:r>
            <w:r>
              <w:tab/>
            </w:r>
          </w:p>
          <w:p w14:paraId="6EF499C9" w14:textId="77777777" w:rsidR="00B174BB" w:rsidRDefault="00240F02" w:rsidP="00240F02">
            <w:pPr>
              <w:pStyle w:val="AnnexNumberedText"/>
              <w:tabs>
                <w:tab w:val="left" w:leader="dot" w:pos="2781"/>
                <w:tab w:val="left" w:leader="dot" w:pos="5401"/>
                <w:tab w:val="left" w:leader="dot" w:pos="8741"/>
              </w:tabs>
              <w:ind w:left="549" w:hanging="549"/>
            </w:pPr>
            <w:r>
              <w:t>5.2.3.</w:t>
            </w:r>
            <w:r>
              <w:tab/>
              <w:t xml:space="preserve">Land: </w:t>
            </w:r>
            <w:r>
              <w:tab/>
              <w:t xml:space="preserve"> 5.2.4. Postnummer: </w:t>
            </w:r>
            <w:r>
              <w:tab/>
              <w:t xml:space="preserve"> 5.2.5. Poststed: </w:t>
            </w:r>
            <w:r>
              <w:tab/>
            </w:r>
          </w:p>
        </w:tc>
      </w:tr>
      <w:tr w:rsidR="00B174BB" w14:paraId="394B9F3A" w14:textId="77777777" w:rsidTr="0065730D">
        <w:trPr>
          <w:trHeight w:val="240"/>
        </w:trPr>
        <w:tc>
          <w:tcPr>
            <w:tcW w:w="8952" w:type="dxa"/>
            <w:tcMar>
              <w:top w:w="60" w:type="dxa"/>
              <w:bottom w:w="60" w:type="dxa"/>
            </w:tcMar>
          </w:tcPr>
          <w:p w14:paraId="3A663FF0" w14:textId="77777777" w:rsidR="00B174BB" w:rsidRDefault="005B47E0">
            <w:pPr>
              <w:pStyle w:val="AnnexNumberedText"/>
              <w:ind w:left="549" w:hanging="549"/>
            </w:pPr>
            <w:r>
              <w:t>5.3.</w:t>
            </w:r>
            <w:r>
              <w:tab/>
              <w:t>Kontaktopplysninger</w:t>
            </w:r>
          </w:p>
          <w:p w14:paraId="7FAFAA0F" w14:textId="77777777" w:rsidR="00B174BB" w:rsidRDefault="005B47E0">
            <w:pPr>
              <w:pStyle w:val="AnnexNumberedText"/>
              <w:ind w:left="549" w:hanging="549"/>
            </w:pPr>
            <w:r>
              <w:t>5.3.1.</w:t>
            </w:r>
            <w:r>
              <w:tab/>
              <w:t>E-postadresse (</w:t>
            </w:r>
            <w:r>
              <w:rPr>
                <w:i/>
              </w:rPr>
              <w:t>dersom det er relevant, oppgis adressen som ble brukt ved bestillingen</w:t>
            </w:r>
            <w:r>
              <w:t>):</w:t>
            </w:r>
          </w:p>
          <w:p w14:paraId="111BF36B" w14:textId="77777777" w:rsidR="00B174BB" w:rsidRDefault="00240F02" w:rsidP="00240F02">
            <w:pPr>
              <w:pStyle w:val="AnnexTableCellLeft"/>
              <w:tabs>
                <w:tab w:val="left" w:leader="dot" w:pos="8761"/>
              </w:tabs>
              <w:ind w:left="549"/>
            </w:pPr>
            <w:r>
              <w:tab/>
            </w:r>
          </w:p>
          <w:p w14:paraId="78560DFC" w14:textId="77777777" w:rsidR="00B174BB" w:rsidRDefault="005B47E0">
            <w:pPr>
              <w:pStyle w:val="AnnexNumberedText"/>
              <w:ind w:left="549" w:hanging="549"/>
            </w:pPr>
            <w:r>
              <w:t>5.3.2.</w:t>
            </w:r>
            <w:r>
              <w:tab/>
              <w:t>Telefonnummer:</w:t>
            </w:r>
          </w:p>
          <w:p w14:paraId="18636CA4" w14:textId="77777777" w:rsidR="00B174BB" w:rsidRDefault="00240F02" w:rsidP="00240F02">
            <w:pPr>
              <w:pStyle w:val="AnnexTableCellLeft"/>
              <w:tabs>
                <w:tab w:val="left" w:leader="dot" w:pos="8761"/>
              </w:tabs>
              <w:ind w:left="549"/>
            </w:pPr>
            <w:r>
              <w:tab/>
            </w:r>
          </w:p>
        </w:tc>
      </w:tr>
      <w:tr w:rsidR="00B174BB" w14:paraId="77A9871C" w14:textId="77777777" w:rsidTr="0065730D">
        <w:trPr>
          <w:trHeight w:val="240"/>
        </w:trPr>
        <w:tc>
          <w:tcPr>
            <w:tcW w:w="8952" w:type="dxa"/>
            <w:tcMar>
              <w:top w:w="60" w:type="dxa"/>
              <w:bottom w:w="60" w:type="dxa"/>
            </w:tcMar>
          </w:tcPr>
          <w:p w14:paraId="25285122" w14:textId="77777777" w:rsidR="00B174BB" w:rsidRDefault="005B47E0" w:rsidP="00FB0829">
            <w:pPr>
              <w:pStyle w:val="AnnexNumberedText"/>
              <w:ind w:left="549" w:hanging="549"/>
            </w:pPr>
            <w:r>
              <w:t>5.4.</w:t>
            </w:r>
            <w:r>
              <w:tab/>
              <w:t xml:space="preserve">Foretrukket betalingsmåte for refusjon/erstatning </w:t>
            </w:r>
            <w:r>
              <w:rPr>
                <w:i/>
              </w:rPr>
              <w:t>(kryss av i bare én rute):</w:t>
            </w:r>
          </w:p>
          <w:p w14:paraId="16BD4FC2" w14:textId="77777777" w:rsidR="00B174BB" w:rsidRDefault="005B47E0" w:rsidP="00240F02">
            <w:pPr>
              <w:pStyle w:val="AnnexTableCellLeft"/>
              <w:tabs>
                <w:tab w:val="left" w:pos="2049"/>
              </w:tabs>
              <w:ind w:left="549"/>
            </w:pPr>
            <w:r>
              <w:t xml:space="preserve">☐ Penger </w:t>
            </w:r>
            <w:r>
              <w:tab/>
              <w:t>☐ Kuponger og/eller andre tjenester (dersom det tilbys)</w:t>
            </w:r>
          </w:p>
        </w:tc>
      </w:tr>
      <w:tr w:rsidR="00B174BB" w14:paraId="151B1EE0" w14:textId="77777777" w:rsidTr="0065730D">
        <w:trPr>
          <w:trHeight w:val="240"/>
        </w:trPr>
        <w:tc>
          <w:tcPr>
            <w:tcW w:w="8952" w:type="dxa"/>
          </w:tcPr>
          <w:p w14:paraId="3DB141DF" w14:textId="77777777" w:rsidR="00B174BB" w:rsidRDefault="005B47E0" w:rsidP="00240F02">
            <w:pPr>
              <w:pStyle w:val="AnnexNumberedText"/>
              <w:pageBreakBefore/>
              <w:spacing w:after="0"/>
              <w:ind w:left="549" w:hanging="549"/>
            </w:pPr>
            <w:r>
              <w:lastRenderedPageBreak/>
              <w:t>5.5.</w:t>
            </w:r>
            <w:r>
              <w:tab/>
              <w:t>Betalingsopplysninger</w:t>
            </w:r>
          </w:p>
          <w:p w14:paraId="5438D5DC" w14:textId="77777777" w:rsidR="00B174BB" w:rsidRDefault="005B47E0" w:rsidP="00240F02">
            <w:pPr>
              <w:pStyle w:val="AnnexTableCellLeft"/>
              <w:spacing w:after="120"/>
              <w:ind w:left="549"/>
            </w:pPr>
            <w:r>
              <w:rPr>
                <w:i/>
              </w:rPr>
              <w:t>(dersom det foretrekkes refusjon/erstatning i penger)</w:t>
            </w:r>
          </w:p>
          <w:p w14:paraId="23714E90" w14:textId="77777777" w:rsidR="00B174BB" w:rsidRDefault="005B47E0">
            <w:pPr>
              <w:pStyle w:val="AnnexNumberedText"/>
              <w:ind w:left="549" w:hanging="549"/>
            </w:pPr>
            <w:r>
              <w:t>5.5.1.</w:t>
            </w:r>
            <w:r>
              <w:tab/>
              <w:t>IBAN (kontonummer):</w:t>
            </w:r>
          </w:p>
          <w:p w14:paraId="4CDFA488" w14:textId="77777777" w:rsidR="00B174BB" w:rsidRDefault="00240F02" w:rsidP="00240F02">
            <w:pPr>
              <w:pStyle w:val="AnnexTableCellLeft"/>
              <w:tabs>
                <w:tab w:val="left" w:leader="dot" w:pos="8841"/>
              </w:tabs>
              <w:ind w:left="549"/>
            </w:pPr>
            <w:r>
              <w:tab/>
            </w:r>
          </w:p>
          <w:p w14:paraId="3AB7D46A" w14:textId="77777777" w:rsidR="00B174BB" w:rsidRDefault="005B47E0">
            <w:pPr>
              <w:pStyle w:val="AnnexNumberedText"/>
              <w:ind w:left="549" w:hanging="549"/>
            </w:pPr>
            <w:r>
              <w:t>5.5.2.</w:t>
            </w:r>
            <w:r>
              <w:tab/>
              <w:t>SWIFT/BIC (banknummer): …</w:t>
            </w:r>
          </w:p>
          <w:p w14:paraId="395CCCA3" w14:textId="77777777" w:rsidR="00B174BB" w:rsidRDefault="005B47E0">
            <w:pPr>
              <w:pStyle w:val="AnnexNumberedText"/>
              <w:ind w:left="549" w:hanging="549"/>
            </w:pPr>
            <w:r>
              <w:t>5.5.3.</w:t>
            </w:r>
            <w:r>
              <w:tab/>
              <w:t>Andre betalingsmåter som passasjeren har brukt til å kjøpe billetten (PayPal, Apple Pay o.l.):</w:t>
            </w:r>
          </w:p>
          <w:p w14:paraId="382352CC" w14:textId="77777777" w:rsidR="00B174BB" w:rsidRDefault="00240F02" w:rsidP="00240F02">
            <w:pPr>
              <w:pStyle w:val="AnnexTableCellLeft"/>
              <w:tabs>
                <w:tab w:val="left" w:leader="dot" w:pos="8841"/>
              </w:tabs>
              <w:ind w:left="549"/>
            </w:pPr>
            <w:r>
              <w:tab/>
            </w:r>
          </w:p>
          <w:p w14:paraId="3E2C1DD2" w14:textId="77777777" w:rsidR="00B174BB" w:rsidRDefault="005B47E0">
            <w:pPr>
              <w:pStyle w:val="AnnexNumberedText"/>
              <w:ind w:left="549" w:hanging="549"/>
            </w:pPr>
            <w:r>
              <w:t>5.5.4.</w:t>
            </w:r>
            <w:r>
              <w:tab/>
              <w:t>Kontohaverens navn (</w:t>
            </w:r>
            <w:r>
              <w:rPr>
                <w:i/>
              </w:rPr>
              <w:t>fornavn, etternavn):</w:t>
            </w:r>
          </w:p>
          <w:p w14:paraId="3D80E698" w14:textId="77777777" w:rsidR="00B174BB" w:rsidRDefault="00240F02" w:rsidP="00240F02">
            <w:pPr>
              <w:pStyle w:val="AnnexTableCellLeft"/>
              <w:tabs>
                <w:tab w:val="left" w:leader="dot" w:pos="8841"/>
              </w:tabs>
              <w:ind w:left="549"/>
            </w:pPr>
            <w:r>
              <w:tab/>
            </w:r>
          </w:p>
        </w:tc>
      </w:tr>
    </w:tbl>
    <w:p w14:paraId="4C7C400E" w14:textId="77777777" w:rsidR="00B174BB" w:rsidRDefault="005B47E0" w:rsidP="00240F02">
      <w:pPr>
        <w:pStyle w:val="AnnexNumberedText"/>
        <w:spacing w:before="400" w:after="300"/>
        <w:ind w:left="279" w:hanging="279"/>
      </w:pPr>
      <w:r>
        <w:t>6.</w:t>
      </w:r>
      <w:r>
        <w:rPr>
          <w:b/>
        </w:rPr>
        <w:tab/>
        <w:t>Ytterligere opplysninger om billetten/reisen</w:t>
      </w:r>
    </w:p>
    <w:tbl>
      <w:tblPr>
        <w:tblStyle w:val="EFTATable"/>
        <w:tblW w:w="8964" w:type="dxa"/>
        <w:tblInd w:w="316" w:type="dxa"/>
        <w:tblBorders>
          <w:left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964"/>
      </w:tblGrid>
      <w:tr w:rsidR="00B174BB" w14:paraId="062707D0" w14:textId="77777777" w:rsidTr="0065730D">
        <w:trPr>
          <w:trHeight w:val="240"/>
        </w:trPr>
        <w:tc>
          <w:tcPr>
            <w:tcW w:w="8964" w:type="dxa"/>
          </w:tcPr>
          <w:p w14:paraId="55B23A44" w14:textId="77777777" w:rsidR="00B174BB" w:rsidRDefault="005B47E0">
            <w:pPr>
              <w:pStyle w:val="AnnexTableCellLeft"/>
            </w:pPr>
            <w:r>
              <w:rPr>
                <w:i/>
              </w:rPr>
              <w:t>Om ønskelig kan du du legge til ytterligere opplysninger om billetten/reisen her, inkludert opplysninger om eventuelle ekstra kostnader for bruk av andre leverandører av transporttjenester, eller andre kostnader (utlegg for annen jernbanetransport, buss, taxi, hotell eller annen innkvartering, måltider, forfriskninger). Det anbefales sterkt å sende inn relevante underlagsdokumenter. Maksimalt 2500 tegn.</w:t>
            </w:r>
          </w:p>
          <w:p w14:paraId="31723319" w14:textId="77777777" w:rsidR="00B174BB" w:rsidRDefault="00240F02" w:rsidP="00240F02">
            <w:pPr>
              <w:pStyle w:val="AnnexTableCellLeft"/>
              <w:tabs>
                <w:tab w:val="left" w:leader="dot" w:pos="8841"/>
              </w:tabs>
            </w:pPr>
            <w:r>
              <w:tab/>
            </w:r>
          </w:p>
          <w:p w14:paraId="051F0B3F" w14:textId="77777777" w:rsidR="00B174BB" w:rsidRDefault="00240F02" w:rsidP="00232821">
            <w:pPr>
              <w:pStyle w:val="AnnexTableCellLeft"/>
              <w:tabs>
                <w:tab w:val="left" w:leader="dot" w:pos="8841"/>
              </w:tabs>
            </w:pPr>
            <w:r>
              <w:tab/>
            </w:r>
          </w:p>
          <w:p w14:paraId="12FF161A" w14:textId="77777777" w:rsidR="00B174BB" w:rsidRDefault="00232821" w:rsidP="00232821">
            <w:pPr>
              <w:pStyle w:val="AnnexTableCellLeft"/>
              <w:tabs>
                <w:tab w:val="left" w:leader="dot" w:pos="8841"/>
              </w:tabs>
            </w:pPr>
            <w:r>
              <w:tab/>
            </w:r>
          </w:p>
          <w:p w14:paraId="5EFFAF59" w14:textId="77777777" w:rsidR="00B174BB" w:rsidRDefault="00232821" w:rsidP="00232821">
            <w:pPr>
              <w:pStyle w:val="AnnexTableCellLeft"/>
              <w:tabs>
                <w:tab w:val="left" w:leader="dot" w:pos="8841"/>
              </w:tabs>
            </w:pPr>
            <w:r>
              <w:tab/>
            </w:r>
          </w:p>
          <w:p w14:paraId="11F6C340" w14:textId="77777777" w:rsidR="00B174BB" w:rsidRDefault="00232821" w:rsidP="00232821">
            <w:pPr>
              <w:pStyle w:val="AnnexTableCellLeft"/>
              <w:tabs>
                <w:tab w:val="left" w:leader="dot" w:pos="8841"/>
              </w:tabs>
            </w:pPr>
            <w:r>
              <w:tab/>
            </w:r>
          </w:p>
          <w:p w14:paraId="42AD2087" w14:textId="77777777" w:rsidR="00B174BB" w:rsidRDefault="00232821" w:rsidP="00232821">
            <w:pPr>
              <w:pStyle w:val="AnnexTableCellLeft"/>
              <w:tabs>
                <w:tab w:val="left" w:leader="dot" w:pos="8841"/>
              </w:tabs>
            </w:pPr>
            <w:r>
              <w:tab/>
            </w:r>
          </w:p>
          <w:p w14:paraId="06C5B051" w14:textId="77777777" w:rsidR="00B174BB" w:rsidRDefault="00232821" w:rsidP="00232821">
            <w:pPr>
              <w:pStyle w:val="AnnexTableCellLeft"/>
              <w:tabs>
                <w:tab w:val="left" w:leader="dot" w:pos="8841"/>
              </w:tabs>
            </w:pPr>
            <w:r>
              <w:tab/>
            </w:r>
          </w:p>
          <w:p w14:paraId="6909BBA9" w14:textId="77777777" w:rsidR="00B174BB" w:rsidRDefault="00232821" w:rsidP="00232821">
            <w:pPr>
              <w:pStyle w:val="AnnexTableCellLeft"/>
              <w:tabs>
                <w:tab w:val="left" w:leader="dot" w:pos="8841"/>
              </w:tabs>
            </w:pPr>
            <w:r>
              <w:tab/>
            </w:r>
          </w:p>
          <w:p w14:paraId="357130FD" w14:textId="77777777" w:rsidR="00B174BB" w:rsidRDefault="00232821" w:rsidP="00232821">
            <w:pPr>
              <w:pStyle w:val="AnnexTableCellLeft"/>
              <w:tabs>
                <w:tab w:val="left" w:leader="dot" w:pos="8841"/>
              </w:tabs>
            </w:pPr>
            <w:r>
              <w:tab/>
            </w:r>
          </w:p>
          <w:p w14:paraId="527137A5" w14:textId="77777777" w:rsidR="00B174BB" w:rsidRDefault="00232821" w:rsidP="00232821">
            <w:pPr>
              <w:pStyle w:val="AnnexTableCellLeft"/>
              <w:tabs>
                <w:tab w:val="left" w:leader="dot" w:pos="8841"/>
              </w:tabs>
            </w:pPr>
            <w:r>
              <w:tab/>
            </w:r>
          </w:p>
          <w:p w14:paraId="5C7097B2" w14:textId="77777777" w:rsidR="00B174BB" w:rsidRDefault="00232821" w:rsidP="00232821">
            <w:pPr>
              <w:pStyle w:val="AnnexTableCellLeft"/>
              <w:tabs>
                <w:tab w:val="left" w:leader="dot" w:pos="8841"/>
              </w:tabs>
            </w:pPr>
            <w:r>
              <w:tab/>
            </w:r>
          </w:p>
          <w:p w14:paraId="667870F0" w14:textId="77777777" w:rsidR="00B174BB" w:rsidRDefault="00232821" w:rsidP="00232821">
            <w:pPr>
              <w:pStyle w:val="AnnexTableCellLeft"/>
              <w:tabs>
                <w:tab w:val="left" w:leader="dot" w:pos="8841"/>
              </w:tabs>
            </w:pPr>
            <w:r>
              <w:tab/>
            </w:r>
          </w:p>
          <w:p w14:paraId="359188E5" w14:textId="77777777" w:rsidR="00B174BB" w:rsidRDefault="00232821" w:rsidP="00232821">
            <w:pPr>
              <w:pStyle w:val="AnnexTableCellLeft"/>
              <w:tabs>
                <w:tab w:val="left" w:leader="dot" w:pos="8841"/>
              </w:tabs>
            </w:pPr>
            <w:r>
              <w:tab/>
            </w:r>
          </w:p>
          <w:p w14:paraId="2B3D8DA3" w14:textId="77777777" w:rsidR="00B174BB" w:rsidRDefault="00232821" w:rsidP="00232821">
            <w:pPr>
              <w:pStyle w:val="AnnexTableCellLeft"/>
              <w:tabs>
                <w:tab w:val="left" w:leader="dot" w:pos="8841"/>
              </w:tabs>
            </w:pPr>
            <w:r>
              <w:tab/>
            </w:r>
          </w:p>
          <w:p w14:paraId="736F74E3" w14:textId="77777777" w:rsidR="00B174BB" w:rsidRDefault="00232821" w:rsidP="00232821">
            <w:pPr>
              <w:pStyle w:val="AnnexTableCellLeft"/>
              <w:tabs>
                <w:tab w:val="left" w:leader="dot" w:pos="8841"/>
              </w:tabs>
            </w:pPr>
            <w:r>
              <w:tab/>
            </w:r>
          </w:p>
          <w:p w14:paraId="15E41E08" w14:textId="77777777" w:rsidR="00B174BB" w:rsidRDefault="00232821" w:rsidP="00232821">
            <w:pPr>
              <w:pStyle w:val="AnnexTableCellLeft"/>
              <w:tabs>
                <w:tab w:val="left" w:leader="dot" w:pos="8841"/>
              </w:tabs>
            </w:pPr>
            <w:r>
              <w:tab/>
            </w:r>
          </w:p>
          <w:p w14:paraId="6B60CC3B" w14:textId="77777777" w:rsidR="00B174BB" w:rsidRDefault="00232821" w:rsidP="00232821">
            <w:pPr>
              <w:pStyle w:val="AnnexTableCellLeft"/>
              <w:tabs>
                <w:tab w:val="left" w:leader="dot" w:pos="8841"/>
              </w:tabs>
            </w:pPr>
            <w:r>
              <w:tab/>
            </w:r>
          </w:p>
          <w:p w14:paraId="7B87DD87" w14:textId="77777777" w:rsidR="00B174BB" w:rsidRDefault="00232821" w:rsidP="00232821">
            <w:pPr>
              <w:pStyle w:val="AnnexTableCellLeft"/>
              <w:tabs>
                <w:tab w:val="left" w:leader="dot" w:pos="8841"/>
              </w:tabs>
            </w:pPr>
            <w:r>
              <w:tab/>
            </w:r>
          </w:p>
          <w:p w14:paraId="264A8C0A" w14:textId="77777777" w:rsidR="00B174BB" w:rsidRDefault="00232821" w:rsidP="00232821">
            <w:pPr>
              <w:pStyle w:val="AnnexTableCellLeft"/>
              <w:tabs>
                <w:tab w:val="left" w:leader="dot" w:pos="8841"/>
              </w:tabs>
            </w:pPr>
            <w:r>
              <w:tab/>
            </w:r>
          </w:p>
          <w:p w14:paraId="14EB2930" w14:textId="77777777" w:rsidR="00B174BB" w:rsidRDefault="00232821" w:rsidP="00232821">
            <w:pPr>
              <w:pStyle w:val="AnnexTableCellLeft"/>
              <w:tabs>
                <w:tab w:val="left" w:leader="dot" w:pos="8841"/>
              </w:tabs>
            </w:pPr>
            <w:r>
              <w:tab/>
            </w:r>
          </w:p>
          <w:p w14:paraId="1C97C9D7" w14:textId="77777777" w:rsidR="00B174BB" w:rsidRDefault="00232821" w:rsidP="00232821">
            <w:pPr>
              <w:pStyle w:val="AnnexTableCellLeft"/>
              <w:tabs>
                <w:tab w:val="left" w:leader="dot" w:pos="8841"/>
              </w:tabs>
            </w:pPr>
            <w:r>
              <w:tab/>
            </w:r>
          </w:p>
        </w:tc>
      </w:tr>
    </w:tbl>
    <w:p w14:paraId="22636DB6" w14:textId="77777777" w:rsidR="00B174BB" w:rsidRDefault="005B47E0" w:rsidP="00232821">
      <w:pPr>
        <w:pStyle w:val="AnnexGrSeq1"/>
        <w:spacing w:before="400"/>
        <w:jc w:val="left"/>
      </w:pPr>
      <w:r>
        <w:rPr>
          <w:b/>
        </w:rPr>
        <w:t>LEGG VED RELEVANTE DOKUMENTER</w:t>
      </w:r>
    </w:p>
    <w:p w14:paraId="5B74ACF7" w14:textId="77777777" w:rsidR="00B174BB" w:rsidRDefault="005B47E0">
      <w:pPr>
        <w:pStyle w:val="AnnexNormal"/>
      </w:pPr>
      <w:r>
        <w:t>(f.eks. billett(er) eller reservasjon(er), inkludert dokumentasjon for ekstra kostnader som er påløpt og bekreftelse på forsinkelse/avbestilling der det er relevant)</w:t>
      </w:r>
    </w:p>
    <w:p w14:paraId="261C755F" w14:textId="77777777" w:rsidR="00B174BB" w:rsidRDefault="005B47E0">
      <w:pPr>
        <w:pStyle w:val="AnnexNormal"/>
      </w:pPr>
      <w:r>
        <w:t>Den generelle personvernforordningen (europaparlaments- og rådsforordning (EU) 2016/679(</w:t>
      </w:r>
      <w:bookmarkStart w:id="3" w:name="NOTE_4"/>
      <w:r w:rsidRPr="00232821">
        <w:rPr>
          <w:rStyle w:val="Fotnotereferanse"/>
          <w:sz w:val="18"/>
          <w:szCs w:val="18"/>
        </w:rPr>
        <w:footnoteReference w:id="5"/>
      </w:r>
      <w:bookmarkEnd w:id="3"/>
      <w:r>
        <w:t xml:space="preserve">)) får anvendelse på behandling av personopplysninger som gis i dette skjemaet. Ytterligere informasjon om hvordan personopplysningene dine vil bli behandlet, gis av mottakeren av dette skjemaet. </w:t>
      </w:r>
      <w:r>
        <w:rPr>
          <w:b/>
        </w:rPr>
        <w:t>Jeg erkjenner herved at mottakeren av dette felles refusjons- og erstatningsskjemaet kan dele mine personopplysninger med andre relevante parter dersom det er er nødvendig for behandlingen av søknaden</w:t>
      </w:r>
    </w:p>
    <w:p w14:paraId="2CCF77BC" w14:textId="77777777" w:rsidR="00B174BB" w:rsidRDefault="005B47E0" w:rsidP="00232821">
      <w:pPr>
        <w:pStyle w:val="AnnexNormal"/>
        <w:spacing w:after="0"/>
      </w:pPr>
      <w:r>
        <w:rPr>
          <w:i/>
        </w:rPr>
        <w:t>Sett kryss [X]</w:t>
      </w:r>
      <w:r>
        <w:br w:type="page"/>
      </w:r>
    </w:p>
    <w:p w14:paraId="2E311FF2" w14:textId="77777777" w:rsidR="00B174BB" w:rsidRDefault="005B47E0" w:rsidP="00232821">
      <w:pPr>
        <w:pStyle w:val="AnnexNormal"/>
        <w:tabs>
          <w:tab w:val="left" w:pos="840"/>
        </w:tabs>
      </w:pPr>
      <w:r>
        <w:lastRenderedPageBreak/>
        <w:t xml:space="preserve">JA ☐ </w:t>
      </w:r>
      <w:r>
        <w:tab/>
        <w:t>NEI ☐</w:t>
      </w:r>
    </w:p>
    <w:p w14:paraId="2DA346AE" w14:textId="77777777" w:rsidR="00B174BB" w:rsidRDefault="005B47E0">
      <w:pPr>
        <w:pStyle w:val="AnnexNormal"/>
      </w:pPr>
      <w:r>
        <w:rPr>
          <w:b/>
        </w:rPr>
        <w:t>Jeg erklærer herved at alle opplysningene i dette skjemaet er sanne og korrekte i alle henseender og om alle passasjerene</w:t>
      </w:r>
    </w:p>
    <w:tbl>
      <w:tblPr>
        <w:tblStyle w:val="EFTATable"/>
        <w:tblW w:w="9240" w:type="dxa"/>
        <w:tblLayout w:type="fixed"/>
        <w:tblLook w:val="04A0" w:firstRow="1" w:lastRow="0" w:firstColumn="1" w:lastColumn="0" w:noHBand="0" w:noVBand="1"/>
      </w:tblPr>
      <w:tblGrid>
        <w:gridCol w:w="5040"/>
        <w:gridCol w:w="4200"/>
      </w:tblGrid>
      <w:tr w:rsidR="00B174BB" w14:paraId="2D4AE0E2" w14:textId="77777777" w:rsidTr="00685430">
        <w:trPr>
          <w:trHeight w:val="240"/>
        </w:trPr>
        <w:tc>
          <w:tcPr>
            <w:tcW w:w="5040" w:type="dxa"/>
            <w:tcBorders>
              <w:top w:val="nil"/>
              <w:bottom w:val="nil"/>
              <w:right w:val="nil"/>
            </w:tcBorders>
            <w:tcMar>
              <w:top w:w="60" w:type="dxa"/>
              <w:left w:w="0" w:type="dxa"/>
              <w:bottom w:w="60" w:type="dxa"/>
            </w:tcMar>
          </w:tcPr>
          <w:p w14:paraId="6BDB4ACA" w14:textId="77777777" w:rsidR="00B174BB" w:rsidRDefault="005B47E0">
            <w:pPr>
              <w:pStyle w:val="AnnexTableCellLeft"/>
            </w:pPr>
            <w:r>
              <w:t xml:space="preserve">Søknadsdato </w:t>
            </w:r>
            <w:r>
              <w:rPr>
                <w:i/>
              </w:rPr>
              <w:t>(dag/måned/år):</w:t>
            </w:r>
            <w:r>
              <w:t xml:space="preserve"> …./…./….</w:t>
            </w:r>
          </w:p>
        </w:tc>
        <w:tc>
          <w:tcPr>
            <w:tcW w:w="4200" w:type="dxa"/>
            <w:tcBorders>
              <w:top w:val="nil"/>
              <w:left w:val="nil"/>
              <w:bottom w:val="nil"/>
            </w:tcBorders>
            <w:tcMar>
              <w:top w:w="60" w:type="dxa"/>
              <w:bottom w:w="60" w:type="dxa"/>
              <w:right w:w="0" w:type="dxa"/>
            </w:tcMar>
          </w:tcPr>
          <w:p w14:paraId="56D10F75" w14:textId="77777777" w:rsidR="00B174BB" w:rsidRDefault="00685430" w:rsidP="00685430">
            <w:pPr>
              <w:pStyle w:val="AnnexTableCellLeft"/>
              <w:tabs>
                <w:tab w:val="left" w:leader="dot" w:pos="4160"/>
              </w:tabs>
            </w:pPr>
            <w:r>
              <w:t xml:space="preserve">Sted: </w:t>
            </w:r>
            <w:r>
              <w:tab/>
            </w:r>
          </w:p>
        </w:tc>
      </w:tr>
    </w:tbl>
    <w:p w14:paraId="2CA20EBA" w14:textId="77777777" w:rsidR="00B174BB" w:rsidRDefault="005B47E0" w:rsidP="00685430">
      <w:pPr>
        <w:pStyle w:val="AnnexNormal"/>
        <w:tabs>
          <w:tab w:val="left" w:leader="dot" w:pos="9240"/>
        </w:tabs>
        <w:spacing w:before="120"/>
      </w:pPr>
      <w:r>
        <w:t xml:space="preserve">Navn på passasjeren eller dennes representant: </w:t>
      </w:r>
      <w:r>
        <w:tab/>
      </w:r>
    </w:p>
    <w:p w14:paraId="601BBA21" w14:textId="77777777" w:rsidR="00B174BB" w:rsidRDefault="00685430" w:rsidP="00685430">
      <w:pPr>
        <w:pStyle w:val="line4"/>
        <w:pBdr>
          <w:bottom w:val="none" w:sz="0" w:space="0" w:color="auto"/>
        </w:pBdr>
        <w:tabs>
          <w:tab w:val="left" w:leader="underscore" w:pos="1020"/>
        </w:tabs>
        <w:spacing w:before="240"/>
        <w:ind w:left="0" w:right="0"/>
      </w:pPr>
      <w:r>
        <w:tab/>
      </w:r>
    </w:p>
    <w:sectPr w:rsidR="00B174BB" w:rsidSect="001B04AC">
      <w:footnotePr>
        <w:numRestart w:val="eachSect"/>
      </w:footnotePr>
      <w:pgSz w:w="11906" w:h="16838" w:code="9"/>
      <w:pgMar w:top="1680" w:right="1333" w:bottom="840" w:left="1333" w:header="920"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51BEE" w14:textId="77777777" w:rsidR="002E0FE5" w:rsidRDefault="002E0FE5">
      <w:pPr>
        <w:spacing w:after="0" w:line="240" w:lineRule="auto"/>
      </w:pPr>
      <w:r>
        <w:separator/>
      </w:r>
    </w:p>
  </w:endnote>
  <w:endnote w:type="continuationSeparator" w:id="0">
    <w:p w14:paraId="3E22D26C" w14:textId="77777777" w:rsidR="002E0FE5" w:rsidRDefault="002E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AC6FF" w14:textId="77777777" w:rsidR="001B04AC" w:rsidRDefault="001B04A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8FE84" w14:textId="77777777" w:rsidR="001B04AC" w:rsidRDefault="001B04A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F7608" w14:textId="77777777" w:rsidR="001B04AC" w:rsidRDefault="001B04A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45711" w14:textId="77777777" w:rsidR="002E0FE5" w:rsidRDefault="002E0FE5">
      <w:pPr>
        <w:pStyle w:val="FooterRule"/>
        <w:rPr>
          <w:lang w:val="de-DE"/>
        </w:rPr>
      </w:pPr>
      <w:r>
        <w:rPr>
          <w:lang w:val="de-DE"/>
        </w:rPr>
        <w:tab/>
      </w:r>
    </w:p>
  </w:footnote>
  <w:footnote w:type="continuationSeparator" w:id="0">
    <w:p w14:paraId="1457DBC9" w14:textId="77777777" w:rsidR="002E0FE5" w:rsidRDefault="002E0FE5">
      <w:pPr>
        <w:spacing w:after="0" w:line="240" w:lineRule="auto"/>
      </w:pPr>
      <w:r>
        <w:continuationSeparator/>
      </w:r>
    </w:p>
  </w:footnote>
  <w:footnote w:type="continuationNotice" w:id="1">
    <w:p w14:paraId="1155C1DC" w14:textId="77777777" w:rsidR="002E0FE5" w:rsidRDefault="002E0FE5">
      <w:pPr>
        <w:spacing w:after="0" w:line="240" w:lineRule="auto"/>
      </w:pPr>
    </w:p>
  </w:footnote>
  <w:footnote w:id="2">
    <w:p w14:paraId="78E7E6DC" w14:textId="77777777" w:rsidR="00B174BB" w:rsidRDefault="005B47E0" w:rsidP="001B04AC">
      <w:pPr>
        <w:pStyle w:val="Fotnotetekst"/>
      </w:pPr>
      <w:r>
        <w:t>(</w:t>
      </w:r>
      <w:r>
        <w:rPr>
          <w:rStyle w:val="Fotnotereferanse"/>
        </w:rPr>
        <w:footnoteRef/>
      </w:r>
      <w:r>
        <w:t>)</w:t>
      </w:r>
      <w:r>
        <w:tab/>
        <w:t>EUT L 172 av 17.5.2021, s. 1.</w:t>
      </w:r>
    </w:p>
  </w:footnote>
  <w:footnote w:id="3">
    <w:p w14:paraId="7390860C" w14:textId="77777777" w:rsidR="00B174BB" w:rsidRDefault="005B47E0" w:rsidP="001B04AC">
      <w:pPr>
        <w:pStyle w:val="Fotnotetekst"/>
      </w:pPr>
      <w:r>
        <w:t>(</w:t>
      </w:r>
      <w:r>
        <w:rPr>
          <w:rStyle w:val="Fotnotereferanse"/>
        </w:rPr>
        <w:footnoteRef/>
      </w:r>
      <w:r>
        <w:t>)</w:t>
      </w:r>
      <w:r>
        <w:tab/>
        <w:t>Europaparlaments- og rådsforordning (EU) 2018/1725 av 23. oktober 2018 om vern av fysiske personer i forbindelse med behandling av personopplysninger i Unionens institusjoner, organer, kontorer og byråer og om fri utveksling av slike opplysninger samt om oppheving av forordning (EF) nr. 45/2001 og beslutning nr. 1247/2002/EF (EUT L 295 av 21.11.2018, s. 39).</w:t>
      </w:r>
    </w:p>
  </w:footnote>
  <w:footnote w:id="4">
    <w:p w14:paraId="0A736B94" w14:textId="77777777" w:rsidR="00B174BB" w:rsidRDefault="005B47E0" w:rsidP="001B04AC">
      <w:pPr>
        <w:pStyle w:val="Fotnotetekst"/>
      </w:pPr>
      <w:r>
        <w:t>(</w:t>
      </w:r>
      <w:r>
        <w:rPr>
          <w:rStyle w:val="Fotnotereferanse"/>
        </w:rPr>
        <w:footnoteRef/>
      </w:r>
      <w:r>
        <w:t>)</w:t>
      </w:r>
      <w:r>
        <w:tab/>
        <w:t>Europaparlaments- og rådsforordning (EU) 2021/782 av 29. april 2021 om jernbanepassasjerers rettigheter og forpliktelser (EUT L 172 av 17.5.2021, s. 1).</w:t>
      </w:r>
    </w:p>
  </w:footnote>
  <w:footnote w:id="5">
    <w:p w14:paraId="08F2D1EE" w14:textId="77777777" w:rsidR="00B174BB" w:rsidRDefault="005B47E0" w:rsidP="001B04AC">
      <w:pPr>
        <w:pStyle w:val="Fotnotetekst"/>
      </w:pPr>
      <w:r>
        <w:t>(</w:t>
      </w:r>
      <w:r>
        <w:rPr>
          <w:rStyle w:val="Fotnotereferanse"/>
        </w:rPr>
        <w:footnoteRef/>
      </w:r>
      <w:r>
        <w:t>)</w:t>
      </w:r>
      <w:r>
        <w:tab/>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CB5D" w14:textId="5C394D81" w:rsidR="001B04AC" w:rsidRDefault="00CF1875">
    <w:pPr>
      <w:pStyle w:val="Topptekst"/>
    </w:pPr>
    <w:r>
      <w:pict w14:anchorId="1D5F4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21907" o:spid="_x0000_s6146" type="#_x0000_t75" style="position:absolute;left:0;text-align:left;margin-left:0;margin-top:0;width:461.45pt;height:450.95pt;z-index:-251657216;mso-position-horizontal:center;mso-position-horizontal-relative:margin;mso-position-vertical:center;mso-position-vertical-relative:margin" o:allowincell="f">
          <v:imagedata r:id="rId1" o:title="Vannmerke-NB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643544"/>
      <w:docPartObj>
        <w:docPartGallery w:val="Page Numbers (Top of Page)"/>
        <w:docPartUnique/>
      </w:docPartObj>
    </w:sdtPr>
    <w:sdtEndPr>
      <w:rPr>
        <w:noProof/>
      </w:rPr>
    </w:sdtEndPr>
    <w:sdtContent>
      <w:p w14:paraId="06B8BCC8" w14:textId="6B541E94" w:rsidR="001B04AC" w:rsidRDefault="00CF1875">
        <w:pPr>
          <w:pStyle w:val="Topptekst"/>
          <w:jc w:val="right"/>
        </w:pPr>
        <w:r>
          <w:pict w14:anchorId="152610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21908" o:spid="_x0000_s6147" type="#_x0000_t75" style="position:absolute;left:0;text-align:left;margin-left:0;margin-top:0;width:461.45pt;height:450.95pt;z-index:-251656192;mso-position-horizontal:center;mso-position-horizontal-relative:margin;mso-position-vertical:center;mso-position-vertical-relative:margin" o:allowincell="f">
              <v:imagedata r:id="rId1" o:title="Vannmerke-NBO"/>
              <w10:wrap anchorx="margin" anchory="margin"/>
            </v:shape>
          </w:pict>
        </w:r>
        <w:r w:rsidR="001B04AC">
          <w:fldChar w:fldCharType="begin"/>
        </w:r>
        <w:r w:rsidR="001B04AC">
          <w:instrText xml:space="preserve"> PAGE   \* MERGEFORMAT </w:instrText>
        </w:r>
        <w:r w:rsidR="001B04AC">
          <w:fldChar w:fldCharType="separate"/>
        </w:r>
        <w:r w:rsidR="00F63C20">
          <w:t>7</w:t>
        </w:r>
        <w:r w:rsidR="001B04AC">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59422" w14:textId="02458909" w:rsidR="001B04AC" w:rsidRDefault="00CF1875">
    <w:pPr>
      <w:pStyle w:val="Topptekst"/>
    </w:pPr>
    <w:r>
      <w:pict w14:anchorId="40A6D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21906" o:spid="_x0000_s6145" type="#_x0000_t75" style="position:absolute;left:0;text-align:left;margin-left:0;margin-top:0;width:461.45pt;height:450.95pt;z-index:-251658240;mso-position-horizontal:center;mso-position-horizontal-relative:margin;mso-position-vertical:center;mso-position-vertical-relative:margin" o:allowincell="f">
          <v:imagedata r:id="rId1" o:title="Vannmerke-NB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D19D3"/>
    <w:multiLevelType w:val="hybridMultilevel"/>
    <w:tmpl w:val="C8CE26D2"/>
    <w:lvl w:ilvl="0" w:tplc="CD48D4A2">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64A12FEB"/>
    <w:multiLevelType w:val="hybridMultilevel"/>
    <w:tmpl w:val="5ED6C5BA"/>
    <w:lvl w:ilvl="0" w:tplc="57724CBC">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6CAF3640"/>
    <w:multiLevelType w:val="hybridMultilevel"/>
    <w:tmpl w:val="185CD1C6"/>
    <w:lvl w:ilvl="0" w:tplc="4300D4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9813497">
    <w:abstractNumId w:val="2"/>
  </w:num>
  <w:num w:numId="2" w16cid:durableId="1657564811">
    <w:abstractNumId w:val="0"/>
  </w:num>
  <w:num w:numId="3" w16cid:durableId="168958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consecutiveHyphenLimit w:val="2"/>
  <w:hyphenationZone w:val="357"/>
  <w:doNotHyphenateCaps/>
  <w:defaultTableStyle w:val="EFTATable"/>
  <w:characterSpacingControl w:val="doNotCompress"/>
  <w:hdrShapeDefaults>
    <o:shapedefaults v:ext="edit" spidmax="6148"/>
    <o:shapelayout v:ext="edit">
      <o:idmap v:ext="edit" data="6"/>
    </o:shapelayout>
  </w:hdrShapeDefaults>
  <w:footnotePr>
    <w:pos w:val="beneathTex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BB"/>
    <w:rsid w:val="0005574E"/>
    <w:rsid w:val="000F6E1F"/>
    <w:rsid w:val="001B04AC"/>
    <w:rsid w:val="001D46C3"/>
    <w:rsid w:val="00232821"/>
    <w:rsid w:val="00240F02"/>
    <w:rsid w:val="002E0FE5"/>
    <w:rsid w:val="002F4322"/>
    <w:rsid w:val="003C4E96"/>
    <w:rsid w:val="003F1E6B"/>
    <w:rsid w:val="005B47E0"/>
    <w:rsid w:val="005F2F9C"/>
    <w:rsid w:val="0065730D"/>
    <w:rsid w:val="00685430"/>
    <w:rsid w:val="008B4872"/>
    <w:rsid w:val="00B174BB"/>
    <w:rsid w:val="00CF1875"/>
    <w:rsid w:val="00F63C20"/>
    <w:rsid w:val="00F81E35"/>
    <w:rsid w:val="00FB08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0E8F5CAB"/>
  <w15:docId w15:val="{5BEB4886-0D32-4FBA-91F4-74B6820B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hd w:val="clear" w:color="auto" w:fill="FF0000"/>
      <w:spacing w:line="240" w:lineRule="exact"/>
      <w:jc w:val="both"/>
    </w:pPr>
    <w:rPr>
      <w:rFonts w:ascii="Times New Roman" w:hAnsi="Times New Roman"/>
      <w:color w:val="00B050"/>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line4">
    <w:name w:val="line4"/>
    <w:next w:val="Para"/>
    <w:qFormat/>
    <w:pPr>
      <w:widowControl w:val="0"/>
      <w:pBdr>
        <w:bottom w:val="single" w:sz="4" w:space="1" w:color="auto"/>
      </w:pBdr>
      <w:suppressAutoHyphens/>
      <w:spacing w:after="257" w:line="240" w:lineRule="exact"/>
      <w:ind w:left="4162" w:right="4162"/>
      <w:jc w:val="center"/>
    </w:pPr>
    <w:rPr>
      <w:rFonts w:ascii="Times New Roman" w:hAnsi="Times New Roman"/>
      <w:sz w:val="18"/>
    </w:rPr>
  </w:style>
  <w:style w:type="paragraph" w:customStyle="1" w:styleId="line2">
    <w:name w:val="line2"/>
    <w:basedOn w:val="line4"/>
    <w:next w:val="Para"/>
    <w:qFormat/>
    <w:pPr>
      <w:ind w:left="4282" w:right="4282"/>
    </w:pPr>
  </w:style>
  <w:style w:type="paragraph" w:customStyle="1" w:styleId="line8">
    <w:name w:val="line8"/>
    <w:basedOn w:val="line2"/>
    <w:next w:val="Para"/>
    <w:qFormat/>
    <w:pPr>
      <w:ind w:left="4126" w:right="4126"/>
    </w:pPr>
  </w:style>
  <w:style w:type="paragraph" w:customStyle="1" w:styleId="line12">
    <w:name w:val="line12"/>
    <w:basedOn w:val="line2"/>
    <w:next w:val="Para"/>
    <w:qFormat/>
    <w:pPr>
      <w:ind w:left="3614" w:right="3614"/>
    </w:pPr>
  </w:style>
  <w:style w:type="paragraph" w:styleId="Topptekst">
    <w:name w:val="header"/>
    <w:basedOn w:val="Para"/>
    <w:link w:val="TopptekstTegn"/>
    <w:uiPriority w:val="99"/>
    <w:unhideWhenUsed/>
    <w:pPr>
      <w:spacing w:after="100" w:line="200" w:lineRule="exact"/>
    </w:pPr>
  </w:style>
  <w:style w:type="character" w:customStyle="1" w:styleId="TopptekstTegn">
    <w:name w:val="Topptekst Tegn"/>
    <w:basedOn w:val="Standardskriftforavsnitt"/>
    <w:link w:val="Topptekst"/>
    <w:uiPriority w:val="99"/>
    <w:rPr>
      <w:rFonts w:ascii="Times New Roman" w:hAnsi="Times New Roman"/>
      <w:sz w:val="18"/>
      <w14:ligatures w14:val="standard"/>
    </w:rPr>
  </w:style>
  <w:style w:type="paragraph" w:styleId="Bunntekst">
    <w:name w:val="footer"/>
    <w:basedOn w:val="Para"/>
    <w:link w:val="BunntekstTegn"/>
    <w:uiPriority w:val="99"/>
    <w:unhideWhenUse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Pr>
      <w:rFonts w:ascii="Times New Roman" w:hAnsi="Times New Roman"/>
      <w:sz w:val="18"/>
      <w14:ligatures w14:val="standard"/>
    </w:rPr>
  </w:style>
  <w:style w:type="table" w:styleId="Tabellrutenett">
    <w:name w:val="Table Grid"/>
    <w:basedOn w:val="Vanligtabel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Title"/>
    <w:basedOn w:val="Para"/>
    <w:next w:val="SectionSubTitle"/>
    <w:qFormat/>
    <w:pPr>
      <w:keepNext/>
      <w:keepLines/>
      <w:suppressAutoHyphens/>
      <w:spacing w:line="680" w:lineRule="exact"/>
      <w:jc w:val="center"/>
      <w:outlineLvl w:val="0"/>
    </w:pPr>
    <w:rPr>
      <w:b/>
      <w:caps/>
      <w:color w:val="666666"/>
      <w:sz w:val="72"/>
    </w:rPr>
  </w:style>
  <w:style w:type="paragraph" w:customStyle="1" w:styleId="SectionSubTitle">
    <w:name w:val="SectionSubTitle"/>
    <w:basedOn w:val="Para"/>
    <w:next w:val="MainTitle"/>
    <w:qFormat/>
    <w:pPr>
      <w:keepNext/>
      <w:keepLines/>
      <w:suppressAutoHyphens/>
      <w:spacing w:after="500" w:line="400" w:lineRule="exact"/>
      <w:jc w:val="center"/>
      <w:outlineLvl w:val="1"/>
    </w:pPr>
    <w:rPr>
      <w:b/>
      <w:caps/>
      <w:color w:val="666666"/>
      <w:sz w:val="36"/>
    </w:rPr>
  </w:style>
  <w:style w:type="paragraph" w:customStyle="1" w:styleId="MainTitle">
    <w:name w:val="MainTitle"/>
    <w:basedOn w:val="Para"/>
    <w:qFormat/>
    <w:pPr>
      <w:keepNext/>
      <w:suppressAutoHyphens/>
      <w:spacing w:after="120"/>
      <w:jc w:val="center"/>
      <w:outlineLvl w:val="2"/>
    </w:pPr>
    <w:rPr>
      <w:b/>
    </w:rPr>
  </w:style>
  <w:style w:type="paragraph" w:customStyle="1" w:styleId="MainTitleItalic">
    <w:name w:val="MainTitleItalic"/>
    <w:basedOn w:val="MainTitle"/>
    <w:next w:val="Normal"/>
    <w:qFormat/>
    <w:pPr>
      <w:spacing w:after="240"/>
    </w:pPr>
    <w:rPr>
      <w:b w:val="0"/>
      <w:i/>
    </w:rPr>
  </w:style>
  <w:style w:type="paragraph" w:customStyle="1" w:styleId="PreambleInit">
    <w:name w:val="PreambleInit"/>
    <w:basedOn w:val="ParaSmall"/>
    <w:qFormat/>
    <w:pPr>
      <w:spacing w:before="240" w:after="240"/>
    </w:pPr>
  </w:style>
  <w:style w:type="paragraph" w:customStyle="1" w:styleId="Pa8">
    <w:name w:val="Pa8"/>
    <w:basedOn w:val="Normal"/>
    <w:next w:val="Normal"/>
    <w:uiPriority w:val="99"/>
    <w:pPr>
      <w:autoSpaceDE w:val="0"/>
      <w:autoSpaceDN w:val="0"/>
      <w:adjustRightInd w:val="0"/>
      <w:spacing w:after="0" w:line="241" w:lineRule="atLeast"/>
    </w:pPr>
    <w:rPr>
      <w:rFonts w:cs="Times New Roman"/>
      <w:sz w:val="24"/>
      <w:szCs w:val="24"/>
    </w:rPr>
  </w:style>
  <w:style w:type="paragraph" w:customStyle="1" w:styleId="GrSeq1">
    <w:name w:val="GrSeq1"/>
    <w:basedOn w:val="Para"/>
    <w:qFormat/>
    <w:pPr>
      <w:keepNext/>
      <w:keepLines/>
      <w:tabs>
        <w:tab w:val="left" w:pos="2027"/>
      </w:tabs>
      <w:suppressAutoHyphens/>
      <w:ind w:left="1020" w:hanging="1020"/>
    </w:pPr>
    <w:rPr>
      <w:rFonts w:eastAsia="Times New Roman" w:cs="Times New Roman"/>
      <w:b/>
      <w:bCs/>
      <w:szCs w:val="18"/>
    </w:rPr>
  </w:style>
  <w:style w:type="paragraph" w:customStyle="1" w:styleId="NumberedText">
    <w:name w:val="NumberedText"/>
    <w:basedOn w:val="Para"/>
    <w:qFormat/>
    <w:pPr>
      <w:tabs>
        <w:tab w:val="left" w:pos="2047"/>
      </w:tabs>
      <w:ind w:left="1020" w:hanging="1020"/>
    </w:pPr>
    <w:rPr>
      <w:rFonts w:eastAsia="Times New Roman" w:cs="Times New Roman"/>
      <w:szCs w:val="18"/>
    </w:rPr>
  </w:style>
  <w:style w:type="paragraph" w:styleId="Fotnotetekst">
    <w:name w:val="footnote text"/>
    <w:basedOn w:val="ParaSmall"/>
    <w:link w:val="FotnotetekstTegn"/>
    <w:uiPriority w:val="99"/>
    <w:semiHidden/>
    <w:unhideWhenUsed/>
    <w:pPr>
      <w:spacing w:after="0"/>
      <w:ind w:left="300" w:hanging="300"/>
    </w:pPr>
    <w:rPr>
      <w:szCs w:val="20"/>
    </w:rPr>
  </w:style>
  <w:style w:type="character" w:customStyle="1" w:styleId="FotnotetekstTegn">
    <w:name w:val="Fotnotetekst Tegn"/>
    <w:basedOn w:val="Standardskriftforavsnitt"/>
    <w:link w:val="Fotnotetekst"/>
    <w:uiPriority w:val="99"/>
    <w:semiHidden/>
    <w:rPr>
      <w:rFonts w:ascii="Times New Roman" w:hAnsi="Times New Roman"/>
      <w:sz w:val="16"/>
      <w:szCs w:val="20"/>
      <w14:ligatures w14:val="standard"/>
    </w:rPr>
  </w:style>
  <w:style w:type="character" w:styleId="Fotnotereferanse">
    <w:name w:val="footnote reference"/>
    <w:basedOn w:val="Standardskriftforavsnitt"/>
    <w:uiPriority w:val="99"/>
    <w:semiHidden/>
    <w:unhideWhenUsed/>
    <w:rPr>
      <w:rFonts w:ascii="Times New Roman" w:hAnsi="Times New Roman"/>
      <w:b w:val="0"/>
      <w:i w:val="0"/>
      <w:color w:val="auto"/>
      <w:position w:val="-2"/>
      <w:sz w:val="16"/>
      <w:vertAlign w:val="superscript"/>
    </w:rPr>
  </w:style>
  <w:style w:type="paragraph" w:customStyle="1" w:styleId="Footnote">
    <w:name w:val="Footnote"/>
    <w:basedOn w:val="Fotnotetekst"/>
    <w:qFormat/>
    <w:pPr>
      <w:spacing w:line="180" w:lineRule="exact"/>
    </w:pPr>
    <w:rPr>
      <w:rFonts w:eastAsia="Times New Roman" w:cs="Times New Roman"/>
      <w:sz w:val="14"/>
      <w:szCs w:val="14"/>
    </w:rPr>
  </w:style>
  <w:style w:type="paragraph" w:customStyle="1" w:styleId="FooterRule">
    <w:name w:val="FooterRule"/>
    <w:basedOn w:val="Para"/>
    <w:next w:val="Para"/>
    <w:qFormat/>
    <w:pPr>
      <w:tabs>
        <w:tab w:val="left" w:pos="2041"/>
      </w:tabs>
      <w:adjustRightInd w:val="0"/>
      <w:snapToGrid w:val="0"/>
      <w:spacing w:after="20" w:line="200" w:lineRule="exact"/>
      <w:ind w:right="-57"/>
    </w:pPr>
    <w:rPr>
      <w:u w:val="single"/>
    </w:rPr>
  </w:style>
  <w:style w:type="paragraph" w:customStyle="1" w:styleId="PreambleFinal">
    <w:name w:val="PreambleFinal"/>
    <w:basedOn w:val="PreambleInit"/>
    <w:qFormat/>
    <w:pPr>
      <w:spacing w:before="480" w:after="480" w:line="240" w:lineRule="exact"/>
      <w:jc w:val="left"/>
    </w:pPr>
  </w:style>
  <w:style w:type="paragraph" w:customStyle="1" w:styleId="Visas">
    <w:name w:val="Visas"/>
    <w:basedOn w:val="PreambleInit"/>
    <w:qFormat/>
    <w:pPr>
      <w:spacing w:line="240" w:lineRule="exact"/>
    </w:pPr>
    <w:rPr>
      <w:sz w:val="18"/>
    </w:rPr>
  </w:style>
  <w:style w:type="paragraph" w:customStyle="1" w:styleId="GrSeq2">
    <w:name w:val="GrSeq2"/>
    <w:basedOn w:val="GrSeq1"/>
    <w:qFormat/>
    <w:rPr>
      <w:i/>
    </w:rPr>
  </w:style>
  <w:style w:type="paragraph" w:customStyle="1" w:styleId="GrSeq3">
    <w:name w:val="GrSeq3"/>
    <w:basedOn w:val="GrSeq2"/>
    <w:next w:val="Para"/>
    <w:qFormat/>
    <w:rPr>
      <w:b w:val="0"/>
    </w:rPr>
  </w:style>
  <w:style w:type="paragraph" w:customStyle="1" w:styleId="GrSeq4">
    <w:name w:val="GrSeq4"/>
    <w:basedOn w:val="GrSeq3"/>
    <w:next w:val="Para"/>
    <w:qFormat/>
    <w:rPr>
      <w:i w:val="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0">
    <w:name w:val="Pa10"/>
    <w:basedOn w:val="Default"/>
    <w:next w:val="Default"/>
    <w:uiPriority w:val="99"/>
    <w:pPr>
      <w:spacing w:line="241" w:lineRule="atLeast"/>
    </w:pPr>
    <w:rPr>
      <w:color w:val="auto"/>
    </w:rPr>
  </w:style>
  <w:style w:type="paragraph" w:customStyle="1" w:styleId="TableTitle">
    <w:name w:val="TableTitle"/>
    <w:basedOn w:val="Para"/>
    <w:next w:val="Para"/>
    <w:qFormat/>
    <w:pPr>
      <w:keepNext/>
      <w:spacing w:after="120"/>
    </w:pPr>
  </w:style>
  <w:style w:type="paragraph" w:customStyle="1" w:styleId="Pa4">
    <w:name w:val="Pa4"/>
    <w:basedOn w:val="Default"/>
    <w:next w:val="Default"/>
    <w:uiPriority w:val="99"/>
    <w:pPr>
      <w:spacing w:line="241" w:lineRule="atLeast"/>
    </w:pPr>
    <w:rPr>
      <w:color w:val="auto"/>
    </w:rPr>
  </w:style>
  <w:style w:type="paragraph" w:customStyle="1" w:styleId="TableHeader">
    <w:name w:val="TableHeader"/>
    <w:basedOn w:val="Para"/>
    <w:qFormat/>
    <w:pPr>
      <w:spacing w:after="100" w:afterAutospacing="1" w:line="200" w:lineRule="exact"/>
      <w:jc w:val="center"/>
    </w:pPr>
    <w:rPr>
      <w:bCs/>
      <w:sz w:val="16"/>
    </w:rPr>
  </w:style>
  <w:style w:type="paragraph" w:customStyle="1" w:styleId="Pa15">
    <w:name w:val="Pa15"/>
    <w:basedOn w:val="Default"/>
    <w:next w:val="Default"/>
    <w:uiPriority w:val="99"/>
    <w:pPr>
      <w:spacing w:line="221" w:lineRule="atLeast"/>
    </w:pPr>
    <w:rPr>
      <w:color w:val="auto"/>
    </w:rPr>
  </w:style>
  <w:style w:type="paragraph" w:customStyle="1" w:styleId="Pa2">
    <w:name w:val="Pa2"/>
    <w:basedOn w:val="Default"/>
    <w:next w:val="Default"/>
    <w:uiPriority w:val="99"/>
    <w:pPr>
      <w:spacing w:line="241" w:lineRule="atLeast"/>
    </w:pPr>
    <w:rPr>
      <w:color w:val="auto"/>
    </w:rPr>
  </w:style>
  <w:style w:type="paragraph" w:customStyle="1" w:styleId="TableCell">
    <w:name w:val="TableCell"/>
    <w:basedOn w:val="TableHeader"/>
    <w:qFormat/>
    <w:rPr>
      <w:sz w:val="18"/>
    </w:rPr>
  </w:style>
  <w:style w:type="paragraph" w:customStyle="1" w:styleId="Pa16">
    <w:name w:val="Pa16"/>
    <w:basedOn w:val="Default"/>
    <w:next w:val="Default"/>
    <w:uiPriority w:val="99"/>
    <w:pPr>
      <w:spacing w:line="221" w:lineRule="atLeast"/>
    </w:pPr>
    <w:rPr>
      <w:color w:val="auto"/>
    </w:rPr>
  </w:style>
  <w:style w:type="paragraph" w:customStyle="1" w:styleId="TableCellRight">
    <w:name w:val="TableCellRight"/>
    <w:basedOn w:val="TableCell"/>
    <w:qFormat/>
    <w:pPr>
      <w:jc w:val="right"/>
    </w:pPr>
  </w:style>
  <w:style w:type="paragraph" w:customStyle="1" w:styleId="TableCellLeft">
    <w:name w:val="TableCellLeft"/>
    <w:basedOn w:val="TableCell"/>
    <w:qFormat/>
    <w:pPr>
      <w:jc w:val="left"/>
    </w:pPr>
  </w:style>
  <w:style w:type="paragraph" w:customStyle="1" w:styleId="TableGrNotes">
    <w:name w:val="TableGrNotes"/>
    <w:basedOn w:val="Para"/>
    <w:qFormat/>
    <w:pPr>
      <w:spacing w:after="0" w:line="180" w:lineRule="exact"/>
      <w:ind w:left="280" w:hanging="280"/>
    </w:pPr>
    <w:rPr>
      <w:sz w:val="16"/>
    </w:rPr>
  </w:style>
  <w:style w:type="paragraph" w:customStyle="1" w:styleId="NormalSmall">
    <w:name w:val="NormalSmall"/>
    <w:basedOn w:val="Normal"/>
    <w:qFormat/>
    <w:pPr>
      <w:spacing w:after="120" w:line="200" w:lineRule="exact"/>
    </w:pPr>
    <w:rPr>
      <w:sz w:val="16"/>
    </w:rPr>
  </w:style>
  <w:style w:type="paragraph" w:customStyle="1" w:styleId="TIART">
    <w:name w:val="TIART"/>
    <w:basedOn w:val="Para"/>
    <w:qFormat/>
    <w:pPr>
      <w:keepNext/>
      <w:keepLines/>
      <w:suppressAutoHyphens/>
      <w:jc w:val="center"/>
    </w:pPr>
    <w:rPr>
      <w:i/>
    </w:rPr>
  </w:style>
  <w:style w:type="paragraph" w:customStyle="1" w:styleId="STIART">
    <w:name w:val="STIART"/>
    <w:basedOn w:val="Para"/>
    <w:qFormat/>
    <w:pPr>
      <w:keepNext/>
      <w:keepLines/>
      <w:suppressAutoHyphens/>
      <w:jc w:val="center"/>
    </w:pPr>
    <w:rPr>
      <w:b/>
    </w:rPr>
  </w:style>
  <w:style w:type="paragraph" w:customStyle="1" w:styleId="Final">
    <w:name w:val="Final"/>
    <w:basedOn w:val="Para"/>
    <w:qFormat/>
    <w:pPr>
      <w:ind w:left="547" w:right="547"/>
    </w:pPr>
  </w:style>
  <w:style w:type="paragraph" w:customStyle="1" w:styleId="AnnexTI">
    <w:name w:val="AnnexTI"/>
    <w:basedOn w:val="ParaSmall"/>
    <w:qFormat/>
    <w:pPr>
      <w:keepNext/>
      <w:keepLines/>
      <w:suppressAutoHyphens/>
      <w:jc w:val="center"/>
    </w:pPr>
    <w:rPr>
      <w:i/>
    </w:rPr>
  </w:style>
  <w:style w:type="paragraph" w:customStyle="1" w:styleId="AnnexSTI">
    <w:name w:val="AnnexSTI"/>
    <w:basedOn w:val="Para"/>
    <w:qFormat/>
    <w:pPr>
      <w:keepNext/>
      <w:keepLines/>
      <w:suppressAutoHyphens/>
      <w:spacing w:after="400"/>
      <w:jc w:val="center"/>
    </w:pPr>
    <w:rPr>
      <w:b/>
    </w:rPr>
  </w:style>
  <w:style w:type="paragraph" w:customStyle="1" w:styleId="SmallNumberedText">
    <w:name w:val="SmallNumberedText"/>
    <w:basedOn w:val="ParaSmall"/>
    <w:qFormat/>
    <w:pPr>
      <w:ind w:left="280" w:hanging="280"/>
    </w:pPr>
  </w:style>
  <w:style w:type="paragraph" w:customStyle="1" w:styleId="QuoteStart">
    <w:name w:val="QuoteStart"/>
    <w:basedOn w:val="NumberedText"/>
    <w:qFormat/>
    <w:pPr>
      <w:spacing w:after="100" w:afterAutospacing="1"/>
      <w:ind w:left="0" w:firstLine="0"/>
    </w:pPr>
    <w:rPr>
      <w:i/>
    </w:rPr>
  </w:style>
  <w:style w:type="character" w:styleId="Hyperkobling">
    <w:name w:val="Hyperlink"/>
    <w:basedOn w:val="Standardskriftforavsnitt"/>
    <w:uiPriority w:val="99"/>
    <w:unhideWhenUsed/>
    <w:rPr>
      <w:color w:val="0000FF" w:themeColor="hyperlink"/>
      <w:u w:val="none"/>
    </w:rPr>
  </w:style>
  <w:style w:type="paragraph" w:customStyle="1" w:styleId="SNF">
    <w:name w:val="SNF"/>
    <w:basedOn w:val="Para"/>
    <w:qFormat/>
    <w:rPr>
      <w:color w:val="FF0000"/>
    </w:rPr>
  </w:style>
  <w:style w:type="paragraph" w:customStyle="1" w:styleId="QuoteFootnoteRule">
    <w:name w:val="QuoteFootnoteRule"/>
    <w:basedOn w:val="Para"/>
    <w:qFormat/>
    <w:pPr>
      <w:keepNext/>
      <w:keepLines/>
      <w:pBdr>
        <w:bottom w:val="single" w:sz="4" w:space="1" w:color="auto"/>
      </w:pBdr>
      <w:spacing w:after="0" w:line="180" w:lineRule="exact"/>
      <w:ind w:right="8226"/>
    </w:pPr>
  </w:style>
  <w:style w:type="character" w:styleId="Merknadsreferanse">
    <w:name w:val="annotation reference"/>
    <w:basedOn w:val="Standardskriftforavsnitt"/>
    <w:uiPriority w:val="99"/>
    <w:semiHidden/>
    <w:unhideWhenUsed/>
    <w:rPr>
      <w:sz w:val="16"/>
      <w:szCs w:val="16"/>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Pr>
      <w:b/>
      <w:bCs/>
    </w:rPr>
  </w:style>
  <w:style w:type="character" w:customStyle="1" w:styleId="KommentaremneTegn">
    <w:name w:val="Kommentaremne Tegn"/>
    <w:basedOn w:val="MerknadstekstTegn"/>
    <w:link w:val="Kommentaremne"/>
    <w:uiPriority w:val="99"/>
    <w:semiHidden/>
    <w:rPr>
      <w:rFonts w:ascii="Times New Roman" w:hAnsi="Times New Roman"/>
      <w:b/>
      <w:bCs/>
      <w:sz w:val="20"/>
      <w:szCs w:val="20"/>
    </w:rPr>
  </w:style>
  <w:style w:type="paragraph" w:styleId="Revisjon">
    <w:name w:val="Revision"/>
    <w:hidden/>
    <w:uiPriority w:val="99"/>
    <w:semiHidden/>
    <w:pPr>
      <w:spacing w:after="0" w:line="240" w:lineRule="auto"/>
    </w:pPr>
    <w:rPr>
      <w:rFonts w:ascii="Times New Roman" w:hAnsi="Times New Roman"/>
      <w:sz w:val="18"/>
    </w:rPr>
  </w:style>
  <w:style w:type="paragraph" w:styleId="Bobletekst">
    <w:name w:val="Balloon Text"/>
    <w:basedOn w:val="Normal"/>
    <w:link w:val="BobletekstTegn"/>
    <w:uiPriority w:val="99"/>
    <w:semiHidden/>
    <w:unhideWhenUse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Pr>
      <w:rFonts w:ascii="Tahoma" w:hAnsi="Tahoma" w:cs="Tahoma"/>
      <w:sz w:val="16"/>
      <w:szCs w:val="16"/>
    </w:rPr>
  </w:style>
  <w:style w:type="paragraph" w:customStyle="1" w:styleId="Consid">
    <w:name w:val="Consid"/>
    <w:basedOn w:val="Para"/>
    <w:qFormat/>
    <w:pPr>
      <w:ind w:left="540" w:hanging="540"/>
    </w:pPr>
  </w:style>
  <w:style w:type="paragraph" w:customStyle="1" w:styleId="ConsidWithoutNumber">
    <w:name w:val="ConsidWithoutNumber"/>
    <w:basedOn w:val="Consid"/>
    <w:qFormat/>
    <w:pPr>
      <w:ind w:left="0" w:firstLine="0"/>
    </w:pPr>
  </w:style>
  <w:style w:type="paragraph" w:customStyle="1" w:styleId="Alinea">
    <w:name w:val="Alinea"/>
    <w:basedOn w:val="Para"/>
    <w:qFormat/>
  </w:style>
  <w:style w:type="paragraph" w:customStyle="1" w:styleId="AlineaWithParag">
    <w:name w:val="AlineaWithParag"/>
    <w:basedOn w:val="Para"/>
    <w:qFormat/>
    <w:pPr>
      <w:tabs>
        <w:tab w:val="left" w:pos="400"/>
      </w:tabs>
    </w:pPr>
  </w:style>
  <w:style w:type="paragraph" w:customStyle="1" w:styleId="SignatoryItalic">
    <w:name w:val="SignatoryItalic"/>
    <w:basedOn w:val="Para"/>
    <w:qFormat/>
    <w:pPr>
      <w:spacing w:after="60"/>
      <w:jc w:val="center"/>
    </w:pPr>
    <w:rPr>
      <w:i/>
    </w:rPr>
  </w:style>
  <w:style w:type="paragraph" w:customStyle="1" w:styleId="Signatory">
    <w:name w:val="Signatory"/>
    <w:basedOn w:val="Para"/>
    <w:qFormat/>
    <w:pPr>
      <w:keepNext/>
      <w:keepLines/>
      <w:suppressAutoHyphens/>
      <w:spacing w:after="60"/>
      <w:jc w:val="center"/>
    </w:pPr>
  </w:style>
  <w:style w:type="paragraph" w:customStyle="1" w:styleId="TIARTquoted">
    <w:name w:val="TIART_quoted"/>
    <w:basedOn w:val="TIART"/>
    <w:qFormat/>
    <w:pPr>
      <w:jc w:val="left"/>
    </w:pPr>
  </w:style>
  <w:style w:type="paragraph" w:customStyle="1" w:styleId="STIARTquoted">
    <w:name w:val="STIART_quoted"/>
    <w:basedOn w:val="STIART"/>
    <w:qFormat/>
    <w:pPr>
      <w:jc w:val="left"/>
    </w:pPr>
  </w:style>
  <w:style w:type="paragraph" w:customStyle="1" w:styleId="MainTitleRoman">
    <w:name w:val="MainTitleRoman"/>
    <w:basedOn w:val="MainTitle"/>
    <w:qFormat/>
    <w:rPr>
      <w:b w:val="0"/>
    </w:rPr>
  </w:style>
  <w:style w:type="paragraph" w:customStyle="1" w:styleId="MainTitleSmall">
    <w:name w:val="MainTitleSmall"/>
    <w:basedOn w:val="MainTitle"/>
    <w:qFormat/>
    <w:pPr>
      <w:spacing w:line="200" w:lineRule="exact"/>
    </w:pPr>
    <w:rPr>
      <w:sz w:val="16"/>
    </w:rPr>
  </w:style>
  <w:style w:type="paragraph" w:customStyle="1" w:styleId="MainTitleRomanSmall">
    <w:name w:val="MainTitleRomanSmall"/>
    <w:basedOn w:val="MainTitleSmall"/>
    <w:qFormat/>
    <w:rPr>
      <w:b w:val="0"/>
    </w:rPr>
  </w:style>
  <w:style w:type="paragraph" w:customStyle="1" w:styleId="Formula">
    <w:name w:val="Formula"/>
    <w:basedOn w:val="Para"/>
    <w:qFormat/>
    <w:pPr>
      <w:spacing w:line="240" w:lineRule="auto"/>
    </w:pPr>
    <w:rPr>
      <w:rFonts w:ascii="Cambria Math" w:hAnsi="Cambria Math"/>
    </w:rPr>
  </w:style>
  <w:style w:type="paragraph" w:customStyle="1" w:styleId="FormulaSmall">
    <w:name w:val="FormulaSmall"/>
    <w:basedOn w:val="Formula"/>
    <w:qFormat/>
    <w:rPr>
      <w:rFonts w:eastAsiaTheme="minorEastAsia"/>
      <w:sz w:val="16"/>
    </w:rPr>
  </w:style>
  <w:style w:type="table" w:customStyle="1" w:styleId="EFTATable">
    <w:name w:val="EFTATable"/>
    <w:basedOn w:val="Vanligtabell"/>
    <w:uiPriority w:val="99"/>
    <w:pPr>
      <w:spacing w:after="0" w:line="200" w:lineRule="exact"/>
    </w:pPr>
    <w:rPr>
      <w:rFonts w:ascii="Times New Roman" w:hAnsi="Times New Roman"/>
      <w:sz w:val="16"/>
    </w:rPr>
    <w:tblPr>
      <w:tblBorders>
        <w:top w:val="single" w:sz="4" w:space="0" w:color="auto"/>
        <w:bottom w:val="single" w:sz="4" w:space="0" w:color="auto"/>
        <w:insideH w:val="single" w:sz="4" w:space="0" w:color="auto"/>
        <w:insideV w:val="single" w:sz="4" w:space="0" w:color="auto"/>
      </w:tblBorders>
      <w:tblCellMar>
        <w:top w:w="20" w:type="dxa"/>
        <w:left w:w="40" w:type="dxa"/>
        <w:bottom w:w="20" w:type="dxa"/>
        <w:right w:w="40" w:type="dxa"/>
      </w:tblCellMar>
    </w:tblPr>
  </w:style>
  <w:style w:type="paragraph" w:customStyle="1" w:styleId="TableTIGrNotes">
    <w:name w:val="TableTIGrNotes"/>
    <w:basedOn w:val="TableGrNotes"/>
    <w:qFormat/>
    <w:pPr>
      <w:spacing w:after="120"/>
    </w:pPr>
  </w:style>
  <w:style w:type="paragraph" w:customStyle="1" w:styleId="TableGrAnnotations">
    <w:name w:val="TableGrAnnotations"/>
    <w:basedOn w:val="ParaSmall"/>
    <w:qFormat/>
    <w:pPr>
      <w:spacing w:after="0" w:line="180" w:lineRule="exact"/>
    </w:pPr>
    <w:rPr>
      <w:sz w:val="14"/>
    </w:rPr>
  </w:style>
  <w:style w:type="paragraph" w:customStyle="1" w:styleId="FigureTI">
    <w:name w:val="FigureTI"/>
    <w:basedOn w:val="Para"/>
    <w:qFormat/>
    <w:pPr>
      <w:keepNext/>
      <w:keepLines/>
      <w:suppressAutoHyphens/>
      <w:jc w:val="center"/>
    </w:pPr>
    <w:rPr>
      <w:i/>
    </w:rPr>
  </w:style>
  <w:style w:type="paragraph" w:customStyle="1" w:styleId="FigureSTI">
    <w:name w:val="FigureSTI"/>
    <w:basedOn w:val="Para"/>
    <w:qFormat/>
    <w:pPr>
      <w:keepNext/>
      <w:keepLines/>
      <w:suppressAutoHyphens/>
      <w:jc w:val="center"/>
    </w:pPr>
    <w:rPr>
      <w:b/>
    </w:rPr>
  </w:style>
  <w:style w:type="paragraph" w:customStyle="1" w:styleId="FigureTISmall">
    <w:name w:val="FigureTISmall"/>
    <w:basedOn w:val="ParaSmall"/>
    <w:qFormat/>
    <w:pPr>
      <w:keepNext/>
      <w:keepLines/>
      <w:suppressAutoHyphens/>
      <w:jc w:val="center"/>
    </w:pPr>
    <w:rPr>
      <w:i/>
    </w:rPr>
  </w:style>
  <w:style w:type="paragraph" w:customStyle="1" w:styleId="FigureSTISmall">
    <w:name w:val="FigureSTISmall"/>
    <w:basedOn w:val="ParaSmall"/>
    <w:qFormat/>
    <w:pPr>
      <w:keepNext/>
      <w:keepLines/>
      <w:suppressAutoHyphens/>
      <w:jc w:val="center"/>
    </w:pPr>
    <w:rPr>
      <w:b/>
    </w:rPr>
  </w:style>
  <w:style w:type="paragraph" w:customStyle="1" w:styleId="AnnexNumberedText">
    <w:name w:val="AnnexNumberedText"/>
    <w:basedOn w:val="AnnexNormal"/>
    <w:qFormat/>
    <w:pPr>
      <w:spacing w:after="120"/>
      <w:ind w:left="280" w:hanging="280"/>
    </w:pPr>
  </w:style>
  <w:style w:type="paragraph" w:customStyle="1" w:styleId="AnnexNormal">
    <w:name w:val="AnnexNormal"/>
    <w:basedOn w:val="Para"/>
    <w:qFormat/>
  </w:style>
  <w:style w:type="paragraph" w:customStyle="1" w:styleId="AnnexGrSeq4">
    <w:name w:val="AnnexGrSeq4"/>
    <w:basedOn w:val="ParaSmall"/>
    <w:qFormat/>
    <w:pPr>
      <w:keepNext/>
      <w:keepLines/>
      <w:suppressAutoHyphens/>
      <w:jc w:val="center"/>
    </w:pPr>
  </w:style>
  <w:style w:type="paragraph" w:customStyle="1" w:styleId="AnnexTableCellLeft">
    <w:name w:val="AnnexTableCellLeft"/>
    <w:basedOn w:val="Para"/>
    <w:qFormat/>
    <w:pPr>
      <w:spacing w:after="0"/>
    </w:pPr>
  </w:style>
  <w:style w:type="paragraph" w:customStyle="1" w:styleId="AnnexTableHeader">
    <w:name w:val="AnnexTableHeader"/>
    <w:basedOn w:val="Para"/>
    <w:qFormat/>
    <w:pPr>
      <w:spacing w:after="0"/>
      <w:jc w:val="center"/>
    </w:pPr>
    <w:rPr>
      <w:sz w:val="16"/>
    </w:rPr>
  </w:style>
  <w:style w:type="paragraph" w:customStyle="1" w:styleId="AnnexTableGrNotes">
    <w:name w:val="AnnexTableGrNotes"/>
    <w:basedOn w:val="Para"/>
    <w:qFormat/>
    <w:pPr>
      <w:spacing w:after="0" w:line="220" w:lineRule="exact"/>
      <w:ind w:left="280" w:hanging="280"/>
    </w:pPr>
    <w:rPr>
      <w:sz w:val="16"/>
    </w:rPr>
  </w:style>
  <w:style w:type="paragraph" w:customStyle="1" w:styleId="AnnexTableGrAnnotations">
    <w:name w:val="AnnexTableGrAnnotations"/>
    <w:basedOn w:val="AnnexTableGrNotes"/>
    <w:qFormat/>
    <w:pPr>
      <w:ind w:left="0" w:firstLine="0"/>
    </w:pPr>
  </w:style>
  <w:style w:type="paragraph" w:customStyle="1" w:styleId="AnnexTableCell">
    <w:name w:val="AnnexTableCell"/>
    <w:basedOn w:val="Para"/>
    <w:qFormat/>
    <w:pPr>
      <w:spacing w:after="0"/>
      <w:jc w:val="center"/>
    </w:pPr>
  </w:style>
  <w:style w:type="paragraph" w:customStyle="1" w:styleId="Style1">
    <w:name w:val="Style1"/>
    <w:basedOn w:val="AnnexTableCell"/>
    <w:qFormat/>
  </w:style>
  <w:style w:type="paragraph" w:customStyle="1" w:styleId="AnnexTableCellRight">
    <w:name w:val="AnnexTableCellRight"/>
    <w:basedOn w:val="AnnexTableCell"/>
    <w:qFormat/>
    <w:pPr>
      <w:jc w:val="right"/>
    </w:pPr>
  </w:style>
  <w:style w:type="paragraph" w:customStyle="1" w:styleId="AnnexGrSeq1">
    <w:name w:val="AnnexGrSeq1"/>
    <w:basedOn w:val="ParaSmall"/>
    <w:qFormat/>
    <w:pPr>
      <w:keepNext/>
      <w:keepLines/>
      <w:suppressAutoHyphens/>
      <w:jc w:val="center"/>
    </w:pPr>
  </w:style>
  <w:style w:type="paragraph" w:customStyle="1" w:styleId="AnnexGrSeq2">
    <w:name w:val="AnnexGrSeq2"/>
    <w:basedOn w:val="AnnexGrSeq1"/>
    <w:qFormat/>
    <w:pPr>
      <w:spacing w:line="240" w:lineRule="exact"/>
    </w:pPr>
    <w:rPr>
      <w:sz w:val="18"/>
    </w:rPr>
  </w:style>
  <w:style w:type="paragraph" w:customStyle="1" w:styleId="AnnexGrSeq3">
    <w:name w:val="AnnexGrSeq3"/>
    <w:basedOn w:val="AnnexGrSeq2"/>
    <w:qFormat/>
  </w:style>
  <w:style w:type="paragraph" w:customStyle="1" w:styleId="AnnexAlinea">
    <w:name w:val="AnnexAlinea"/>
    <w:basedOn w:val="ParaSmall"/>
    <w:qFormat/>
  </w:style>
  <w:style w:type="paragraph" w:customStyle="1" w:styleId="AnnexAlineaWithParag">
    <w:name w:val="AnnexAlineaWithParag"/>
    <w:basedOn w:val="AnnexNormal"/>
    <w:qFormat/>
    <w:pPr>
      <w:tabs>
        <w:tab w:val="left" w:pos="400"/>
      </w:tabs>
    </w:pPr>
  </w:style>
  <w:style w:type="paragraph" w:customStyle="1" w:styleId="AnnexTIART">
    <w:name w:val="AnnexTIART"/>
    <w:basedOn w:val="ParaSmall"/>
    <w:qFormat/>
    <w:pPr>
      <w:keepNext/>
      <w:keepLines/>
      <w:suppressAutoHyphens/>
      <w:jc w:val="center"/>
    </w:pPr>
    <w:rPr>
      <w:i/>
    </w:rPr>
  </w:style>
  <w:style w:type="paragraph" w:customStyle="1" w:styleId="AnnexSTIART">
    <w:name w:val="AnnexSTIART"/>
    <w:basedOn w:val="AnnexTIART"/>
    <w:qFormat/>
    <w:rPr>
      <w:b/>
      <w:i w:val="0"/>
    </w:rPr>
  </w:style>
  <w:style w:type="paragraph" w:customStyle="1" w:styleId="AnnexDivisionTI">
    <w:name w:val="AnnexDivisionTI"/>
    <w:basedOn w:val="ParaSmall"/>
    <w:qFormat/>
    <w:pPr>
      <w:keepNext/>
      <w:keepLines/>
      <w:suppressAutoHyphens/>
      <w:jc w:val="center"/>
    </w:pPr>
  </w:style>
  <w:style w:type="paragraph" w:customStyle="1" w:styleId="AnnexDivisionSTI">
    <w:name w:val="AnnexDivisionSTI"/>
    <w:basedOn w:val="ParaSmall"/>
    <w:qFormat/>
    <w:pPr>
      <w:keepNext/>
      <w:keepLines/>
      <w:suppressAutoHyphens/>
      <w:jc w:val="center"/>
    </w:pPr>
  </w:style>
  <w:style w:type="paragraph" w:customStyle="1" w:styleId="DivConsidTIlt51">
    <w:name w:val="DivConsidTIlt51"/>
    <w:basedOn w:val="Para"/>
    <w:qFormat/>
    <w:pPr>
      <w:keepNext/>
      <w:keepLines/>
      <w:suppressAutoHyphens/>
      <w:jc w:val="center"/>
    </w:pPr>
    <w:rPr>
      <w:caps/>
      <w:sz w:val="16"/>
    </w:rPr>
  </w:style>
  <w:style w:type="paragraph" w:customStyle="1" w:styleId="DivConsidSTIlt51">
    <w:name w:val="DivConsidSTIlt51"/>
    <w:basedOn w:val="Para"/>
    <w:qFormat/>
    <w:pPr>
      <w:keepNext/>
      <w:keepLines/>
      <w:suppressAutoHyphens/>
      <w:jc w:val="center"/>
    </w:pPr>
    <w:rPr>
      <w:b/>
    </w:rPr>
  </w:style>
  <w:style w:type="paragraph" w:customStyle="1" w:styleId="AnnexFigureSTI">
    <w:name w:val="AnnexFigureSTI"/>
    <w:basedOn w:val="ParaSmall"/>
    <w:qFormat/>
    <w:pPr>
      <w:keepNext/>
      <w:keepLines/>
      <w:suppressAutoHyphens/>
      <w:jc w:val="center"/>
    </w:pPr>
    <w:rPr>
      <w:b/>
    </w:rPr>
  </w:style>
  <w:style w:type="paragraph" w:customStyle="1" w:styleId="AnnexFigureTI">
    <w:name w:val="AnnexFigureTI"/>
    <w:basedOn w:val="ParaSmall"/>
    <w:qFormat/>
    <w:pPr>
      <w:keepNext/>
      <w:keepLines/>
      <w:suppressAutoHyphens/>
      <w:jc w:val="center"/>
    </w:pPr>
    <w:rPr>
      <w:i/>
    </w:rPr>
  </w:style>
  <w:style w:type="paragraph" w:customStyle="1" w:styleId="Para">
    <w:name w:val="Para"/>
    <w:qFormat/>
    <w:pPr>
      <w:spacing w:line="240" w:lineRule="exact"/>
      <w:jc w:val="both"/>
    </w:pPr>
    <w:rPr>
      <w:rFonts w:ascii="Times New Roman" w:hAnsi="Times New Roman"/>
      <w:sz w:val="18"/>
      <w14:ligatures w14:val="standard"/>
    </w:rPr>
  </w:style>
  <w:style w:type="paragraph" w:customStyle="1" w:styleId="ParaSmall">
    <w:name w:val="ParaSmall"/>
    <w:basedOn w:val="Para"/>
    <w:qFormat/>
    <w:pPr>
      <w:spacing w:line="200" w:lineRule="exact"/>
    </w:pPr>
    <w:rPr>
      <w:sz w:val="16"/>
    </w:rPr>
  </w:style>
  <w:style w:type="paragraph" w:styleId="Sitat">
    <w:name w:val="Quote"/>
    <w:basedOn w:val="Para"/>
    <w:next w:val="Para"/>
    <w:link w:val="SitatTegn"/>
    <w:uiPriority w:val="29"/>
    <w:qFormat/>
    <w:rPr>
      <w:i/>
      <w:iCs/>
      <w:color w:val="000000" w:themeColor="text1"/>
    </w:rPr>
  </w:style>
  <w:style w:type="character" w:customStyle="1" w:styleId="SitatTegn">
    <w:name w:val="Sitat Tegn"/>
    <w:basedOn w:val="Standardskriftforavsnitt"/>
    <w:link w:val="Sitat"/>
    <w:uiPriority w:val="29"/>
    <w:rPr>
      <w:rFonts w:ascii="Times New Roman" w:hAnsi="Times New Roman"/>
      <w:i/>
      <w:iCs/>
      <w:color w:val="000000" w:themeColor="text1"/>
      <w:sz w:val="18"/>
      <w14:ligatures w14:val="standard"/>
    </w:rPr>
  </w:style>
  <w:style w:type="paragraph" w:customStyle="1" w:styleId="SequenceNumber">
    <w:name w:val="SequenceNumber"/>
    <w:basedOn w:val="Para"/>
    <w:qFormat/>
    <w:pPr>
      <w:jc w:val="right"/>
    </w:pPr>
    <w:rPr>
      <w:b/>
    </w:rPr>
  </w:style>
  <w:style w:type="paragraph" w:customStyle="1" w:styleId="SignatorySmall">
    <w:name w:val="SignatorySmall"/>
    <w:basedOn w:val="ParaSmall"/>
    <w:qFormat/>
    <w:pPr>
      <w:spacing w:after="60"/>
      <w:jc w:val="center"/>
    </w:pPr>
  </w:style>
  <w:style w:type="paragraph" w:customStyle="1" w:styleId="SignatoryItalicSmall">
    <w:name w:val="SignatoryItalicSmall"/>
    <w:basedOn w:val="SignatorySmall"/>
    <w:qFormat/>
    <w:rPr>
      <w:i/>
    </w:rPr>
  </w:style>
  <w:style w:type="paragraph" w:customStyle="1" w:styleId="GrSeq5">
    <w:name w:val="GrSeq5"/>
    <w:basedOn w:val="GrSeq1"/>
    <w:qFormat/>
    <w:rPr>
      <w:b w:val="0"/>
    </w:rPr>
  </w:style>
  <w:style w:type="paragraph" w:customStyle="1" w:styleId="GrSeq6">
    <w:name w:val="GrSeq6"/>
    <w:basedOn w:val="GrSeq5"/>
    <w:qFormat/>
  </w:style>
  <w:style w:type="paragraph" w:customStyle="1" w:styleId="GrSeq7">
    <w:name w:val="GrSeq7"/>
    <w:basedOn w:val="GrSeq6"/>
    <w:qFormat/>
  </w:style>
  <w:style w:type="paragraph" w:customStyle="1" w:styleId="AnnexGrSeq5">
    <w:name w:val="AnnexGrSeq5"/>
    <w:basedOn w:val="AnnexGrSeq4"/>
    <w:qFormat/>
    <w:pPr>
      <w:spacing w:line="240" w:lineRule="exact"/>
    </w:pPr>
    <w:rPr>
      <w:sz w:val="18"/>
    </w:rPr>
  </w:style>
  <w:style w:type="paragraph" w:customStyle="1" w:styleId="AnnexGrSeq6">
    <w:name w:val="AnnexGrSeq6"/>
    <w:basedOn w:val="AnnexGrSeq5"/>
    <w:qFormat/>
  </w:style>
  <w:style w:type="paragraph" w:customStyle="1" w:styleId="AnnexGrSeq7">
    <w:name w:val="AnnexGrSeq7"/>
    <w:basedOn w:val="AnnexGrSeq6"/>
    <w:qFormat/>
  </w:style>
  <w:style w:type="paragraph" w:customStyle="1" w:styleId="AnnexQuoteFootnoteRule">
    <w:name w:val="AnnexQuoteFootnoteRule"/>
    <w:basedOn w:val="AnnexNormal"/>
    <w:qFormat/>
    <w:pPr>
      <w:pBdr>
        <w:bottom w:val="single" w:sz="4" w:space="1" w:color="auto"/>
      </w:pBdr>
      <w:spacing w:after="0"/>
      <w:ind w:right="7500"/>
    </w:pPr>
  </w:style>
  <w:style w:type="paragraph" w:customStyle="1" w:styleId="RotatedHeader">
    <w:name w:val="RotatedHeader"/>
    <w:basedOn w:val="Topptekst"/>
    <w:qFormat/>
    <w:pPr>
      <w:pBdr>
        <w:bottom w:val="single" w:sz="4" w:space="6" w:color="auto"/>
      </w:pBdr>
      <w:tabs>
        <w:tab w:val="center" w:pos="4848"/>
        <w:tab w:val="right" w:pos="9611"/>
      </w:tabs>
      <w:spacing w:after="120"/>
    </w:pPr>
  </w:style>
  <w:style w:type="paragraph" w:customStyle="1" w:styleId="DivConsidTIlt52">
    <w:name w:val="DivConsidTIlt52"/>
    <w:basedOn w:val="Para"/>
    <w:qFormat/>
    <w:pPr>
      <w:keepNext/>
      <w:keepLines/>
      <w:suppressAutoHyphens/>
      <w:jc w:val="center"/>
    </w:pPr>
    <w:rPr>
      <w:caps/>
      <w:sz w:val="16"/>
    </w:rPr>
  </w:style>
  <w:style w:type="paragraph" w:customStyle="1" w:styleId="DivConsidSTIlt52">
    <w:name w:val="DivConsidSTIlt52"/>
    <w:basedOn w:val="Para"/>
    <w:qFormat/>
    <w:pPr>
      <w:keepNext/>
      <w:suppressAutoHyphens/>
      <w:jc w:val="center"/>
    </w:pPr>
    <w:rPr>
      <w:b/>
    </w:rPr>
  </w:style>
  <w:style w:type="paragraph" w:customStyle="1" w:styleId="DivConsidTIlt53">
    <w:name w:val="DivConsidTIlt53"/>
    <w:basedOn w:val="Para"/>
    <w:qFormat/>
    <w:pPr>
      <w:keepNext/>
      <w:keepLines/>
      <w:suppressAutoHyphens/>
      <w:jc w:val="left"/>
    </w:pPr>
  </w:style>
  <w:style w:type="paragraph" w:customStyle="1" w:styleId="DivConsidSTIlt53">
    <w:name w:val="DivConsidSTIlt53"/>
    <w:basedOn w:val="Para"/>
    <w:qFormat/>
    <w:pPr>
      <w:keepNext/>
      <w:keepLines/>
      <w:suppressAutoHyphens/>
      <w:jc w:val="left"/>
    </w:pPr>
  </w:style>
  <w:style w:type="paragraph" w:customStyle="1" w:styleId="DivConsidTIlt54">
    <w:name w:val="DivConsidTIlt54"/>
    <w:basedOn w:val="Para"/>
    <w:qFormat/>
    <w:pPr>
      <w:keepNext/>
      <w:keepLines/>
      <w:suppressAutoHyphens/>
      <w:jc w:val="left"/>
    </w:pPr>
  </w:style>
  <w:style w:type="paragraph" w:customStyle="1" w:styleId="DivConsidSTIlt54">
    <w:name w:val="DivConsidSTIlt54"/>
    <w:basedOn w:val="Para"/>
    <w:qFormat/>
    <w:pPr>
      <w:keepNext/>
      <w:keepLines/>
      <w:suppressAutoHyphens/>
      <w:jc w:val="left"/>
    </w:pPr>
  </w:style>
  <w:style w:type="paragraph" w:customStyle="1" w:styleId="DivConsidTIgt51">
    <w:name w:val="DivConsidTIgt51"/>
    <w:basedOn w:val="Para"/>
    <w:qFormat/>
    <w:pPr>
      <w:jc w:val="center"/>
    </w:pPr>
    <w:rPr>
      <w:caps/>
      <w:sz w:val="16"/>
    </w:rPr>
  </w:style>
  <w:style w:type="paragraph" w:customStyle="1" w:styleId="DivConsidSTIgt55">
    <w:name w:val="DivConsidSTIgt55"/>
    <w:basedOn w:val="Para"/>
    <w:qFormat/>
    <w:pPr>
      <w:jc w:val="left"/>
    </w:pPr>
  </w:style>
  <w:style w:type="paragraph" w:customStyle="1" w:styleId="DivConsidTIgt56">
    <w:name w:val="DivConsidTIgt56"/>
    <w:basedOn w:val="Para"/>
    <w:qFormat/>
    <w:pPr>
      <w:keepNext/>
      <w:keepLines/>
      <w:suppressAutoHyphens/>
      <w:jc w:val="left"/>
    </w:pPr>
  </w:style>
  <w:style w:type="paragraph" w:customStyle="1" w:styleId="DivConsidSTIgt56">
    <w:name w:val="DivConsidSTIgt56"/>
    <w:basedOn w:val="Para"/>
    <w:qFormat/>
    <w:pPr>
      <w:jc w:val="left"/>
    </w:pPr>
  </w:style>
  <w:style w:type="paragraph" w:customStyle="1" w:styleId="DivConsidTIgt57">
    <w:name w:val="DivConsidTIgt57"/>
    <w:basedOn w:val="DivConsidTIgt56"/>
    <w:qFormat/>
  </w:style>
  <w:style w:type="paragraph" w:customStyle="1" w:styleId="DivConsidSTIgt57">
    <w:name w:val="DivConsidSTIgt57"/>
    <w:basedOn w:val="DivConsidSTIgt56"/>
    <w:qFormat/>
  </w:style>
  <w:style w:type="paragraph" w:customStyle="1" w:styleId="DivConsidTIgt58">
    <w:name w:val="DivConsidTIgt58"/>
    <w:basedOn w:val="DivConsidTIgt57"/>
    <w:qFormat/>
  </w:style>
  <w:style w:type="paragraph" w:customStyle="1" w:styleId="DivConsidSTIgt58">
    <w:name w:val="DivConsidSTIgt58"/>
    <w:basedOn w:val="DivConsidSTIgt57"/>
    <w:qFormat/>
  </w:style>
  <w:style w:type="paragraph" w:customStyle="1" w:styleId="DivisionTI1">
    <w:name w:val="DivisionTI1"/>
    <w:basedOn w:val="Para"/>
    <w:qFormat/>
    <w:pPr>
      <w:keepNext/>
      <w:keepLines/>
      <w:suppressAutoHyphens/>
      <w:jc w:val="center"/>
    </w:pPr>
    <w:rPr>
      <w:caps/>
      <w:sz w:val="16"/>
    </w:rPr>
  </w:style>
  <w:style w:type="paragraph" w:customStyle="1" w:styleId="DivisionSTI1">
    <w:name w:val="DivisionSTI1"/>
    <w:basedOn w:val="Para"/>
    <w:qFormat/>
    <w:pPr>
      <w:keepNext/>
      <w:keepLines/>
      <w:suppressAutoHyphens/>
      <w:jc w:val="center"/>
    </w:pPr>
  </w:style>
  <w:style w:type="paragraph" w:customStyle="1" w:styleId="DivisionTI2">
    <w:name w:val="DivisionTI2"/>
    <w:basedOn w:val="Para"/>
    <w:qFormat/>
    <w:pPr>
      <w:keepNext/>
      <w:keepLines/>
      <w:suppressAutoHyphens/>
      <w:jc w:val="center"/>
    </w:pPr>
  </w:style>
  <w:style w:type="paragraph" w:customStyle="1" w:styleId="DivisionSTI2">
    <w:name w:val="DivisionSTI2"/>
    <w:basedOn w:val="Para"/>
    <w:qFormat/>
    <w:pPr>
      <w:keepNext/>
      <w:keepLines/>
      <w:suppressAutoHyphens/>
      <w:jc w:val="center"/>
    </w:pPr>
  </w:style>
  <w:style w:type="paragraph" w:customStyle="1" w:styleId="DivisionTI3">
    <w:name w:val="DivisionTI3"/>
    <w:basedOn w:val="Para"/>
    <w:qFormat/>
    <w:pPr>
      <w:keepNext/>
      <w:keepLines/>
      <w:suppressAutoHyphens/>
      <w:jc w:val="left"/>
    </w:pPr>
  </w:style>
  <w:style w:type="paragraph" w:customStyle="1" w:styleId="DivisionSTI3">
    <w:name w:val="DivisionSTI3"/>
    <w:basedOn w:val="Para"/>
    <w:qFormat/>
    <w:pPr>
      <w:keepNext/>
      <w:keepLines/>
      <w:suppressAutoHyphens/>
      <w:jc w:val="left"/>
    </w:pPr>
  </w:style>
  <w:style w:type="paragraph" w:customStyle="1" w:styleId="DivisionTI4">
    <w:name w:val="DivisionTI4"/>
    <w:basedOn w:val="DivisionTI3"/>
    <w:qFormat/>
  </w:style>
  <w:style w:type="paragraph" w:customStyle="1" w:styleId="DivisionSTI4">
    <w:name w:val="DivisionSTI4"/>
    <w:basedOn w:val="DivisionSTI3"/>
    <w:qFormat/>
  </w:style>
  <w:style w:type="paragraph" w:customStyle="1" w:styleId="DivisionTI5">
    <w:name w:val="DivisionTI5"/>
    <w:basedOn w:val="DivisionTI4"/>
    <w:qFormat/>
  </w:style>
  <w:style w:type="paragraph" w:customStyle="1" w:styleId="DivisionSTI5">
    <w:name w:val="DivisionSTI5"/>
    <w:basedOn w:val="DivisionSTI4"/>
    <w:qFormat/>
  </w:style>
  <w:style w:type="paragraph" w:customStyle="1" w:styleId="DivisionTI6">
    <w:name w:val="DivisionTI6"/>
    <w:basedOn w:val="DivisionTI5"/>
    <w:qFormat/>
  </w:style>
  <w:style w:type="paragraph" w:customStyle="1" w:styleId="DivisionSTI6">
    <w:name w:val="DivisionSTI6"/>
    <w:basedOn w:val="DivisionSTI5"/>
    <w:qFormat/>
  </w:style>
  <w:style w:type="paragraph" w:customStyle="1" w:styleId="DivisionTI7">
    <w:name w:val="DivisionTI7"/>
    <w:basedOn w:val="DivisionTI6"/>
    <w:qFormat/>
  </w:style>
  <w:style w:type="paragraph" w:customStyle="1" w:styleId="DivisionSTI7">
    <w:name w:val="DivisionSTI7"/>
    <w:basedOn w:val="DivisionSTI6"/>
    <w:qFormat/>
  </w:style>
  <w:style w:type="paragraph" w:customStyle="1" w:styleId="DivisionTI8">
    <w:name w:val="DivisionTI8"/>
    <w:basedOn w:val="DivisionTI7"/>
    <w:qFormat/>
  </w:style>
  <w:style w:type="paragraph" w:customStyle="1" w:styleId="DivisionSTI8">
    <w:name w:val="DivisionSTI8"/>
    <w:basedOn w:val="DivisionSTI7"/>
    <w:qFormat/>
  </w:style>
  <w:style w:type="paragraph" w:customStyle="1" w:styleId="DivConsidSTIgt51">
    <w:name w:val="DivConsidSTIgt51"/>
    <w:basedOn w:val="DivConsidSTIgt55"/>
    <w:qFormat/>
    <w:pPr>
      <w:jc w:val="center"/>
    </w:pPr>
    <w:rPr>
      <w:sz w:val="16"/>
    </w:rPr>
  </w:style>
  <w:style w:type="paragraph" w:customStyle="1" w:styleId="DivConsidTIgt52">
    <w:name w:val="DivConsidTIgt52"/>
    <w:basedOn w:val="DivConsidTIgt51"/>
    <w:qFormat/>
  </w:style>
  <w:style w:type="paragraph" w:customStyle="1" w:styleId="DivConsidSTIgt52">
    <w:name w:val="DivConsidSTIgt52"/>
    <w:basedOn w:val="DivConsidSTIgt51"/>
    <w:qFormat/>
  </w:style>
  <w:style w:type="paragraph" w:customStyle="1" w:styleId="DivConsidTIgt53">
    <w:name w:val="DivConsidTIgt53"/>
    <w:basedOn w:val="DivConsidTIgt51"/>
    <w:qFormat/>
    <w:pPr>
      <w:jc w:val="left"/>
    </w:pPr>
  </w:style>
  <w:style w:type="paragraph" w:customStyle="1" w:styleId="DivConsidSTIgt53">
    <w:name w:val="DivConsidSTIgt53"/>
    <w:basedOn w:val="DivConsidSTIgt55"/>
    <w:qFormat/>
  </w:style>
  <w:style w:type="paragraph" w:customStyle="1" w:styleId="DivConsidTIgt54">
    <w:name w:val="DivConsidTIgt54"/>
    <w:basedOn w:val="DivConsidTIgt51"/>
    <w:qFormat/>
    <w:pPr>
      <w:jc w:val="left"/>
    </w:pPr>
    <w:rPr>
      <w:sz w:val="18"/>
    </w:rPr>
  </w:style>
  <w:style w:type="paragraph" w:customStyle="1" w:styleId="DivConsidSTIgt54">
    <w:name w:val="DivConsidSTIgt54"/>
    <w:basedOn w:val="DivConsidSTIgt55"/>
    <w:qFormat/>
  </w:style>
  <w:style w:type="paragraph" w:customStyle="1" w:styleId="DivConsidTIgt55">
    <w:name w:val="DivConsidTIgt55"/>
    <w:basedOn w:val="DivConsidTIgt51"/>
    <w:qFormat/>
    <w:pPr>
      <w:jc w:val="left"/>
    </w:pPr>
  </w:style>
  <w:style w:type="paragraph" w:customStyle="1" w:styleId="DivisionChapterTI1">
    <w:name w:val="DivisionChapterTI1"/>
    <w:basedOn w:val="Para"/>
    <w:qFormat/>
    <w:pPr>
      <w:keepNext/>
      <w:keepLines/>
      <w:suppressAutoHyphens/>
      <w:jc w:val="center"/>
    </w:pPr>
    <w:rPr>
      <w:caps/>
      <w:sz w:val="16"/>
    </w:rPr>
  </w:style>
  <w:style w:type="paragraph" w:customStyle="1" w:styleId="DivisionChapterSTI1">
    <w:name w:val="DivisionChapterSTI1"/>
    <w:basedOn w:val="Para"/>
    <w:qFormat/>
    <w:pPr>
      <w:keepNext/>
      <w:keepLines/>
      <w:suppressAutoHyphens/>
      <w:jc w:val="center"/>
    </w:pPr>
    <w:rPr>
      <w:b/>
      <w:caps/>
      <w:sz w:val="16"/>
    </w:rPr>
  </w:style>
  <w:style w:type="paragraph" w:customStyle="1" w:styleId="DivisionSectionTI1">
    <w:name w:val="DivisionSectionTI1"/>
    <w:basedOn w:val="Para"/>
    <w:qFormat/>
    <w:pPr>
      <w:keepNext/>
      <w:keepLines/>
      <w:suppressAutoHyphens/>
      <w:jc w:val="center"/>
    </w:pPr>
    <w:rPr>
      <w:caps/>
      <w:sz w:val="16"/>
    </w:rPr>
  </w:style>
  <w:style w:type="paragraph" w:customStyle="1" w:styleId="DivisionSectionSTI1">
    <w:name w:val="DivisionSectionSTI1"/>
    <w:basedOn w:val="Para"/>
    <w:qFormat/>
    <w:pPr>
      <w:jc w:val="center"/>
    </w:pPr>
    <w:rPr>
      <w:b/>
      <w:caps/>
      <w:sz w:val="16"/>
    </w:rPr>
  </w:style>
  <w:style w:type="character" w:styleId="Fulgthyperkobling">
    <w:name w:val="FollowedHyperlink"/>
    <w:basedOn w:val="Standardskriftforavsnitt"/>
    <w:uiPriority w:val="99"/>
    <w:semiHidden/>
    <w:unhideWhenUsed/>
    <w:rPr>
      <w:color w:val="0000FF"/>
      <w:u w:val="none"/>
    </w:rPr>
  </w:style>
  <w:style w:type="character" w:customStyle="1" w:styleId="Footnote8pt">
    <w:name w:val="Footnote8pt"/>
    <w:basedOn w:val="Standardskriftforavsnitt"/>
    <w:uiPriority w:val="1"/>
    <w:qFormat/>
    <w:rPr>
      <w:rFonts w:ascii="Times New Roman" w:hAnsi="Times New Roman"/>
      <w:color w:val="auto"/>
      <w:sz w:val="16"/>
      <w:lang w:val="nb-NO"/>
    </w:rPr>
  </w:style>
  <w:style w:type="character" w:customStyle="1" w:styleId="Footnote7pt">
    <w:name w:val="Footnote7pt"/>
    <w:basedOn w:val="Standardskriftforavsnitt"/>
    <w:uiPriority w:val="1"/>
    <w:qFormat/>
    <w:rPr>
      <w:rFonts w:ascii="Times New Roman" w:hAnsi="Times New Roman"/>
      <w:color w:val="auto"/>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70B8E-5CB0-4E9A-9360-D8F99066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1839</Words>
  <Characters>9748</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amplexor</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EFTA</dc:creator>
  <cp:lastModifiedBy>Terje Owrehagen</cp:lastModifiedBy>
  <cp:revision>2</cp:revision>
  <cp:lastPrinted>2017-02-23T13:37:00Z</cp:lastPrinted>
  <dcterms:created xsi:type="dcterms:W3CDTF">2025-02-17T12:25:00Z</dcterms:created>
  <dcterms:modified xsi:type="dcterms:W3CDTF">2025-02-17T12:25:00Z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sue_date">
    <vt:lpwstr>27.10.2016</vt:lpwstr>
  </property>
  <property fmtid="{D5CDD505-2E9C-101B-9397-08002B2CF9AE}" pid="3" name="volume">
    <vt:lpwstr>56</vt:lpwstr>
  </property>
  <property fmtid="{D5CDD505-2E9C-101B-9397-08002B2CF9AE}" pid="4" name="rhead">
    <vt:lpwstr>EØS-tillegget til Den europeiske unions tidende</vt:lpwstr>
  </property>
  <property fmtid="{D5CDD505-2E9C-101B-9397-08002B2CF9AE}" pid="5" name="producer">
    <vt:lpwstr>amplexor</vt:lpwstr>
  </property>
  <property fmtid="{D5CDD505-2E9C-101B-9397-08002B2CF9AE}" pid="6" name="issue_nr">
    <vt:lpwstr>23</vt:lpwstr>
  </property>
  <property fmtid="{D5CDD505-2E9C-101B-9397-08002B2CF9AE}" pid="7" name="MSIP_Label_b22f7043-6caf-4431-9109-8eff758a1d8b_Enabled">
    <vt:lpwstr>true</vt:lpwstr>
  </property>
  <property fmtid="{D5CDD505-2E9C-101B-9397-08002B2CF9AE}" pid="8" name="MSIP_Label_b22f7043-6caf-4431-9109-8eff758a1d8b_SetDate">
    <vt:lpwstr>2025-01-08T10:12:09Z</vt:lpwstr>
  </property>
  <property fmtid="{D5CDD505-2E9C-101B-9397-08002B2CF9AE}" pid="9" name="MSIP_Label_b22f7043-6caf-4431-9109-8eff758a1d8b_Method">
    <vt:lpwstr>Standard</vt:lpwstr>
  </property>
  <property fmtid="{D5CDD505-2E9C-101B-9397-08002B2CF9AE}" pid="10" name="MSIP_Label_b22f7043-6caf-4431-9109-8eff758a1d8b_Name">
    <vt:lpwstr>Intern (DSS)</vt:lpwstr>
  </property>
  <property fmtid="{D5CDD505-2E9C-101B-9397-08002B2CF9AE}" pid="11" name="MSIP_Label_b22f7043-6caf-4431-9109-8eff758a1d8b_SiteId">
    <vt:lpwstr>f696e186-1c3b-44cd-bf76-5ace0e7007bd</vt:lpwstr>
  </property>
  <property fmtid="{D5CDD505-2E9C-101B-9397-08002B2CF9AE}" pid="12" name="MSIP_Label_b22f7043-6caf-4431-9109-8eff758a1d8b_ActionId">
    <vt:lpwstr>7e6e19f8-898c-474a-a207-8b05b7cf62e0</vt:lpwstr>
  </property>
  <property fmtid="{D5CDD505-2E9C-101B-9397-08002B2CF9AE}" pid="13" name="MSIP_Label_b22f7043-6caf-4431-9109-8eff758a1d8b_ContentBits">
    <vt:lpwstr>0</vt:lpwstr>
  </property>
</Properties>
</file>